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05487">
      <w:pPr>
        <w:widowControl/>
        <w:spacing w:line="560" w:lineRule="exact"/>
        <w:jc w:val="left"/>
        <w:rPr>
          <w:rFonts w:eastAsia="黑体"/>
          <w:sz w:val="32"/>
          <w:szCs w:val="32"/>
        </w:rPr>
      </w:pPr>
      <w:r>
        <w:rPr>
          <w:rFonts w:eastAsia="黑体"/>
          <w:sz w:val="32"/>
          <w:szCs w:val="32"/>
        </w:rPr>
        <w:t>附件1</w:t>
      </w:r>
    </w:p>
    <w:p w14:paraId="4D26D96D">
      <w:pPr>
        <w:jc w:val="center"/>
        <w:rPr>
          <w:rFonts w:eastAsia="方正小标宋_GBK"/>
          <w:sz w:val="44"/>
          <w:szCs w:val="44"/>
        </w:rPr>
      </w:pPr>
      <w:r>
        <w:rPr>
          <w:rFonts w:eastAsia="方正小标宋_GBK"/>
          <w:sz w:val="44"/>
          <w:szCs w:val="44"/>
        </w:rPr>
        <w:t>青岛市工程研究中心管理办法</w:t>
      </w:r>
    </w:p>
    <w:p w14:paraId="5E634A71">
      <w:pPr>
        <w:spacing w:line="560" w:lineRule="exact"/>
        <w:jc w:val="center"/>
        <w:rPr>
          <w:sz w:val="28"/>
          <w:szCs w:val="28"/>
        </w:rPr>
      </w:pPr>
      <w:bookmarkStart w:id="6" w:name="_GoBack"/>
      <w:bookmarkEnd w:id="6"/>
    </w:p>
    <w:p w14:paraId="2D854433">
      <w:pPr>
        <w:spacing w:line="560" w:lineRule="exact"/>
        <w:jc w:val="center"/>
        <w:rPr>
          <w:rFonts w:eastAsia="黑体"/>
          <w:sz w:val="32"/>
          <w:szCs w:val="32"/>
        </w:rPr>
      </w:pPr>
      <w:r>
        <w:rPr>
          <w:rFonts w:eastAsia="黑体"/>
          <w:sz w:val="32"/>
          <w:szCs w:val="32"/>
        </w:rPr>
        <w:t>第一章  总则</w:t>
      </w:r>
    </w:p>
    <w:p w14:paraId="6D85070F">
      <w:pPr>
        <w:spacing w:line="560" w:lineRule="exact"/>
        <w:jc w:val="center"/>
        <w:rPr>
          <w:rFonts w:eastAsia="黑体"/>
          <w:sz w:val="32"/>
          <w:szCs w:val="32"/>
        </w:rPr>
      </w:pPr>
    </w:p>
    <w:p w14:paraId="2F1A84E9">
      <w:pPr>
        <w:tabs>
          <w:tab w:val="left" w:pos="1995"/>
          <w:tab w:val="left" w:pos="2149"/>
          <w:tab w:val="left" w:pos="2235"/>
        </w:tabs>
        <w:spacing w:line="560" w:lineRule="exact"/>
        <w:ind w:firstLine="640" w:firstLineChars="200"/>
        <w:rPr>
          <w:rFonts w:eastAsia="仿宋_GB2312"/>
          <w:sz w:val="32"/>
          <w:szCs w:val="32"/>
        </w:rPr>
      </w:pPr>
      <w:r>
        <w:rPr>
          <w:rFonts w:hint="eastAsia" w:eastAsia="黑体"/>
          <w:sz w:val="32"/>
          <w:szCs w:val="32"/>
        </w:rPr>
        <w:t>第一条</w:t>
      </w:r>
      <w:r>
        <w:rPr>
          <w:rFonts w:hint="eastAsia" w:eastAsia="仿宋_GB2312"/>
          <w:sz w:val="32"/>
          <w:szCs w:val="32"/>
        </w:rPr>
        <w:t xml:space="preserve"> </w:t>
      </w:r>
      <w:r>
        <w:rPr>
          <w:rFonts w:eastAsia="仿宋_GB2312"/>
          <w:sz w:val="32"/>
          <w:szCs w:val="32"/>
        </w:rPr>
        <w:t xml:space="preserve"> 为深入实施创新驱动发展战略，规范和加强青岛市工程研究中心建设和运行管理，依据《国家工程研究中心管理办法》《山东省工程研究中心管理办法》，结合我市实际，制定本办法。</w:t>
      </w:r>
    </w:p>
    <w:p w14:paraId="2C623590">
      <w:pPr>
        <w:tabs>
          <w:tab w:val="left" w:pos="1995"/>
          <w:tab w:val="left" w:pos="2149"/>
          <w:tab w:val="left" w:pos="2235"/>
        </w:tabs>
        <w:spacing w:line="560" w:lineRule="exact"/>
        <w:ind w:firstLine="640" w:firstLineChars="200"/>
        <w:rPr>
          <w:rFonts w:eastAsia="仿宋_GB2312"/>
          <w:sz w:val="32"/>
          <w:szCs w:val="32"/>
        </w:rPr>
      </w:pPr>
      <w:r>
        <w:rPr>
          <w:rFonts w:hint="eastAsia" w:eastAsia="黑体"/>
          <w:sz w:val="32"/>
          <w:szCs w:val="32"/>
        </w:rPr>
        <w:t>第二条</w:t>
      </w:r>
      <w:r>
        <w:rPr>
          <w:rFonts w:hint="eastAsia" w:eastAsia="仿宋_GB2312"/>
          <w:sz w:val="32"/>
          <w:szCs w:val="32"/>
        </w:rPr>
        <w:t xml:space="preserve"> </w:t>
      </w:r>
      <w:r>
        <w:rPr>
          <w:rFonts w:eastAsia="仿宋_GB2312"/>
          <w:sz w:val="32"/>
          <w:szCs w:val="32"/>
        </w:rPr>
        <w:t xml:space="preserve"> 本办法</w:t>
      </w:r>
      <w:r>
        <w:rPr>
          <w:rFonts w:hint="eastAsia" w:eastAsia="仿宋_GB2312"/>
          <w:sz w:val="32"/>
          <w:szCs w:val="32"/>
        </w:rPr>
        <w:t>适用于市级工程研究中心的申报、认定、评价等管理行为。</w:t>
      </w:r>
    </w:p>
    <w:p w14:paraId="3912B0EA">
      <w:pPr>
        <w:tabs>
          <w:tab w:val="left" w:pos="1995"/>
          <w:tab w:val="left" w:pos="2149"/>
          <w:tab w:val="left" w:pos="2235"/>
        </w:tabs>
        <w:spacing w:line="560" w:lineRule="exact"/>
        <w:ind w:firstLine="640" w:firstLineChars="200"/>
        <w:rPr>
          <w:rFonts w:eastAsia="仿宋_GB2312"/>
          <w:sz w:val="32"/>
          <w:szCs w:val="32"/>
        </w:rPr>
      </w:pPr>
      <w:r>
        <w:rPr>
          <w:rFonts w:hint="eastAsia" w:eastAsia="仿宋_GB2312"/>
          <w:sz w:val="32"/>
          <w:szCs w:val="32"/>
        </w:rPr>
        <w:t>本办法</w:t>
      </w:r>
      <w:r>
        <w:rPr>
          <w:rFonts w:eastAsia="仿宋_GB2312"/>
          <w:sz w:val="32"/>
          <w:szCs w:val="32"/>
        </w:rPr>
        <w:t>所称</w:t>
      </w:r>
      <w:r>
        <w:rPr>
          <w:rFonts w:hint="eastAsia" w:eastAsia="仿宋_GB2312"/>
          <w:sz w:val="32"/>
          <w:szCs w:val="32"/>
        </w:rPr>
        <w:t>市</w:t>
      </w:r>
      <w:r>
        <w:rPr>
          <w:rFonts w:eastAsia="仿宋_GB2312"/>
          <w:sz w:val="32"/>
          <w:szCs w:val="32"/>
        </w:rPr>
        <w:t>工程研究中心，是依托企业、科研机构或高等院校，围绕提高产业自主创新能力和核心竞争力，促进产业结构调整，推动产业转型升级而设立的研究开发平台，是基础研究成果向工程技术转化的重要途径，是本市自主创新体系的重要组成部分。</w:t>
      </w:r>
    </w:p>
    <w:p w14:paraId="5ED16ACE">
      <w:pPr>
        <w:tabs>
          <w:tab w:val="left" w:pos="1995"/>
          <w:tab w:val="left" w:pos="2149"/>
          <w:tab w:val="left" w:pos="2235"/>
        </w:tabs>
        <w:spacing w:line="560" w:lineRule="exact"/>
        <w:ind w:firstLine="640" w:firstLineChars="200"/>
        <w:rPr>
          <w:rFonts w:eastAsia="仿宋_GB2312"/>
          <w:sz w:val="32"/>
          <w:szCs w:val="32"/>
        </w:rPr>
      </w:pPr>
      <w:r>
        <w:rPr>
          <w:rFonts w:hint="eastAsia" w:eastAsia="黑体"/>
          <w:sz w:val="32"/>
          <w:szCs w:val="32"/>
        </w:rPr>
        <w:t>第三条</w:t>
      </w:r>
      <w:r>
        <w:rPr>
          <w:rFonts w:hint="eastAsia" w:eastAsia="仿宋_GB2312"/>
          <w:sz w:val="32"/>
          <w:szCs w:val="32"/>
        </w:rPr>
        <w:t xml:space="preserve"> 市级</w:t>
      </w:r>
      <w:r>
        <w:rPr>
          <w:rFonts w:eastAsia="仿宋_GB2312"/>
          <w:sz w:val="32"/>
          <w:szCs w:val="32"/>
        </w:rPr>
        <w:t>工程研究中心主要为各类创新主体开展实验技术熟化、工程化放大和可靠性验证等活动提供基础条件，促进提高科技成果转化能力和转化效率。</w:t>
      </w:r>
      <w:r>
        <w:rPr>
          <w:rFonts w:hint="eastAsia" w:eastAsia="仿宋_GB2312"/>
          <w:sz w:val="32"/>
          <w:szCs w:val="32"/>
        </w:rPr>
        <w:t>市</w:t>
      </w:r>
      <w:r>
        <w:rPr>
          <w:rFonts w:eastAsia="仿宋_GB2312"/>
          <w:sz w:val="32"/>
          <w:szCs w:val="32"/>
        </w:rPr>
        <w:t>工程研究中心的主要任务：</w:t>
      </w:r>
    </w:p>
    <w:p w14:paraId="04B7B72A">
      <w:pPr>
        <w:spacing w:line="560" w:lineRule="exact"/>
        <w:ind w:firstLine="645"/>
        <w:rPr>
          <w:rFonts w:eastAsia="仿宋_GB2312"/>
          <w:szCs w:val="32"/>
        </w:rPr>
      </w:pPr>
      <w:r>
        <w:rPr>
          <w:rFonts w:eastAsia="仿宋_GB2312"/>
          <w:sz w:val="32"/>
          <w:szCs w:val="32"/>
        </w:rPr>
        <w:t>（一）面向国家重大战略任务和重点工程建设需求，开展关键技术攻关和实验研究；</w:t>
      </w:r>
    </w:p>
    <w:p w14:paraId="1787858D">
      <w:pPr>
        <w:spacing w:line="560" w:lineRule="exact"/>
        <w:ind w:firstLine="645"/>
        <w:rPr>
          <w:rFonts w:eastAsia="仿宋_GB2312"/>
          <w:szCs w:val="32"/>
        </w:rPr>
      </w:pPr>
      <w:r>
        <w:rPr>
          <w:rFonts w:eastAsia="仿宋_GB2312"/>
          <w:sz w:val="32"/>
          <w:szCs w:val="32"/>
        </w:rPr>
        <w:t>（二）以市场为导向，研判产业发展态势及需求，开展具有重要应用价值的重大科技成果的工程化和系统集成，研制重大装备样机及其关键部件；</w:t>
      </w:r>
    </w:p>
    <w:p w14:paraId="3CDCD24B">
      <w:pPr>
        <w:spacing w:line="560" w:lineRule="exact"/>
        <w:ind w:firstLine="645"/>
        <w:rPr>
          <w:rFonts w:eastAsia="仿宋_GB2312"/>
          <w:szCs w:val="32"/>
        </w:rPr>
      </w:pPr>
      <w:r>
        <w:rPr>
          <w:rFonts w:eastAsia="仿宋_GB2312"/>
          <w:sz w:val="32"/>
          <w:szCs w:val="32"/>
        </w:rPr>
        <w:t>（三）推动技术转移和扩散，持续不断地为规模化生产提供成熟的先进技术、工艺及其技术产品和装备；</w:t>
      </w:r>
    </w:p>
    <w:p w14:paraId="5CB5332D">
      <w:pPr>
        <w:spacing w:line="560" w:lineRule="exact"/>
        <w:ind w:firstLine="645"/>
        <w:rPr>
          <w:rFonts w:eastAsia="仿宋_GB2312"/>
          <w:szCs w:val="32"/>
        </w:rPr>
      </w:pPr>
      <w:r>
        <w:rPr>
          <w:rFonts w:eastAsia="仿宋_GB2312"/>
          <w:sz w:val="32"/>
          <w:szCs w:val="32"/>
        </w:rPr>
        <w:t>（四）积极开展国际交流合作，为企业应用国际先进技术、制定采用国际标准、推动国际技术转移扩散等提供支撑服务；</w:t>
      </w:r>
    </w:p>
    <w:p w14:paraId="3D83D1F4">
      <w:pPr>
        <w:spacing w:line="560" w:lineRule="exact"/>
        <w:ind w:firstLine="645"/>
        <w:rPr>
          <w:rFonts w:eastAsia="仿宋_GB2312"/>
          <w:szCs w:val="32"/>
        </w:rPr>
      </w:pPr>
      <w:r>
        <w:rPr>
          <w:rFonts w:eastAsia="仿宋_GB2312"/>
          <w:sz w:val="32"/>
          <w:szCs w:val="32"/>
        </w:rPr>
        <w:t>（五）提供工程技术验证和咨询服务，研究产业技术标准；</w:t>
      </w:r>
    </w:p>
    <w:p w14:paraId="42C9D4D4">
      <w:pPr>
        <w:spacing w:line="560" w:lineRule="exact"/>
        <w:ind w:left="645"/>
        <w:rPr>
          <w:rFonts w:eastAsia="仿宋_GB2312"/>
          <w:szCs w:val="32"/>
        </w:rPr>
      </w:pPr>
      <w:r>
        <w:rPr>
          <w:rFonts w:hint="eastAsia" w:eastAsia="仿宋_GB2312"/>
          <w:sz w:val="32"/>
          <w:szCs w:val="32"/>
        </w:rPr>
        <w:t>（六）</w:t>
      </w:r>
      <w:r>
        <w:rPr>
          <w:rFonts w:eastAsia="仿宋_GB2312"/>
          <w:sz w:val="32"/>
          <w:szCs w:val="32"/>
        </w:rPr>
        <w:t>为行业培养工程技术研究与管理的高层次人才。</w:t>
      </w:r>
    </w:p>
    <w:p w14:paraId="78B13CA6">
      <w:pPr>
        <w:tabs>
          <w:tab w:val="left" w:pos="1995"/>
          <w:tab w:val="left" w:pos="2149"/>
          <w:tab w:val="left" w:pos="2235"/>
        </w:tabs>
        <w:spacing w:line="560" w:lineRule="exact"/>
        <w:ind w:firstLine="640" w:firstLineChars="200"/>
        <w:rPr>
          <w:rFonts w:eastAsia="Times New Roman"/>
          <w:sz w:val="32"/>
          <w:szCs w:val="32"/>
        </w:rPr>
      </w:pPr>
      <w:r>
        <w:rPr>
          <w:rFonts w:hint="eastAsia" w:eastAsia="黑体"/>
          <w:sz w:val="32"/>
          <w:szCs w:val="32"/>
        </w:rPr>
        <w:t>第四条</w:t>
      </w:r>
      <w:r>
        <w:rPr>
          <w:rFonts w:hint="eastAsia" w:eastAsia="仿宋_GB2312"/>
          <w:sz w:val="32"/>
          <w:szCs w:val="32"/>
        </w:rPr>
        <w:t xml:space="preserve"> </w:t>
      </w:r>
      <w:r>
        <w:rPr>
          <w:rFonts w:eastAsia="仿宋_GB2312"/>
          <w:sz w:val="32"/>
          <w:szCs w:val="32"/>
        </w:rPr>
        <w:t xml:space="preserve"> 市发展改革委负责全市工程研究中心建设总体布局，组织开展市</w:t>
      </w:r>
      <w:r>
        <w:rPr>
          <w:rFonts w:hint="eastAsia" w:eastAsia="仿宋_GB2312"/>
          <w:sz w:val="32"/>
          <w:szCs w:val="32"/>
        </w:rPr>
        <w:t>级</w:t>
      </w:r>
      <w:r>
        <w:rPr>
          <w:rFonts w:eastAsia="仿宋_GB2312"/>
          <w:sz w:val="32"/>
          <w:szCs w:val="32"/>
        </w:rPr>
        <w:t>工程研究中心的申报、认定、评价等工作。各区（市）</w:t>
      </w:r>
      <w:r>
        <w:rPr>
          <w:rFonts w:hint="eastAsia" w:eastAsia="仿宋_GB2312"/>
          <w:sz w:val="32"/>
          <w:szCs w:val="32"/>
        </w:rPr>
        <w:t>发展改革局</w:t>
      </w:r>
      <w:r>
        <w:rPr>
          <w:rFonts w:eastAsia="仿宋_GB2312"/>
          <w:sz w:val="32"/>
          <w:szCs w:val="32"/>
        </w:rPr>
        <w:t>、</w:t>
      </w:r>
      <w:r>
        <w:rPr>
          <w:rFonts w:hint="eastAsia" w:eastAsia="仿宋_GB2312"/>
          <w:sz w:val="32"/>
          <w:szCs w:val="32"/>
        </w:rPr>
        <w:t>有关</w:t>
      </w:r>
      <w:r>
        <w:rPr>
          <w:rFonts w:eastAsia="仿宋_GB2312"/>
          <w:sz w:val="32"/>
          <w:szCs w:val="32"/>
        </w:rPr>
        <w:t>功能区</w:t>
      </w:r>
      <w:r>
        <w:rPr>
          <w:rFonts w:hint="eastAsia" w:eastAsia="仿宋_GB2312"/>
          <w:sz w:val="32"/>
          <w:szCs w:val="32"/>
        </w:rPr>
        <w:t>经济发展</w:t>
      </w:r>
      <w:r>
        <w:rPr>
          <w:rFonts w:eastAsia="仿宋_GB2312"/>
          <w:sz w:val="32"/>
          <w:szCs w:val="32"/>
        </w:rPr>
        <w:t>部门，市直或中央、省驻青单位是市级工程研究中心的主管部门，负责组织本</w:t>
      </w:r>
      <w:r>
        <w:rPr>
          <w:rFonts w:hint="eastAsia" w:eastAsia="仿宋_GB2312"/>
          <w:sz w:val="32"/>
          <w:szCs w:val="32"/>
        </w:rPr>
        <w:t>辖区</w:t>
      </w:r>
      <w:r>
        <w:rPr>
          <w:rFonts w:eastAsia="仿宋_GB2312"/>
          <w:sz w:val="32"/>
          <w:szCs w:val="32"/>
        </w:rPr>
        <w:t>、本行业工程研究中心的推荐申报和日常管理工作。</w:t>
      </w:r>
    </w:p>
    <w:p w14:paraId="6728098A">
      <w:pPr>
        <w:tabs>
          <w:tab w:val="left" w:pos="1995"/>
          <w:tab w:val="left" w:pos="2235"/>
        </w:tabs>
        <w:spacing w:line="560" w:lineRule="exact"/>
        <w:ind w:left="640"/>
        <w:rPr>
          <w:rFonts w:eastAsia="Times New Roman"/>
          <w:sz w:val="32"/>
          <w:szCs w:val="32"/>
        </w:rPr>
      </w:pPr>
    </w:p>
    <w:p w14:paraId="0E160BD0">
      <w:pPr>
        <w:spacing w:line="560" w:lineRule="exact"/>
        <w:jc w:val="center"/>
        <w:rPr>
          <w:rFonts w:eastAsia="黑体"/>
          <w:sz w:val="32"/>
          <w:szCs w:val="32"/>
        </w:rPr>
      </w:pPr>
      <w:r>
        <w:rPr>
          <w:rFonts w:eastAsia="黑体"/>
          <w:sz w:val="32"/>
          <w:szCs w:val="32"/>
        </w:rPr>
        <w:t>第二章  申报认定</w:t>
      </w:r>
    </w:p>
    <w:p w14:paraId="7CFFB3FF">
      <w:pPr>
        <w:spacing w:line="560" w:lineRule="exact"/>
        <w:jc w:val="center"/>
        <w:rPr>
          <w:rFonts w:eastAsia="黑体"/>
          <w:sz w:val="32"/>
          <w:szCs w:val="32"/>
        </w:rPr>
      </w:pPr>
    </w:p>
    <w:p w14:paraId="3219A8D2">
      <w:pPr>
        <w:tabs>
          <w:tab w:val="left" w:pos="1995"/>
          <w:tab w:val="left" w:pos="2149"/>
          <w:tab w:val="left" w:pos="2235"/>
        </w:tabs>
        <w:spacing w:line="560" w:lineRule="exact"/>
        <w:ind w:firstLine="640" w:firstLineChars="200"/>
        <w:rPr>
          <w:rFonts w:eastAsia="Times New Roman"/>
          <w:sz w:val="32"/>
        </w:rPr>
      </w:pPr>
      <w:r>
        <w:rPr>
          <w:rFonts w:hint="eastAsia" w:eastAsia="黑体"/>
          <w:sz w:val="32"/>
          <w:szCs w:val="32"/>
        </w:rPr>
        <w:t>第五条</w:t>
      </w:r>
      <w:r>
        <w:rPr>
          <w:rFonts w:hint="eastAsia" w:eastAsia="仿宋_GB2312"/>
          <w:sz w:val="32"/>
          <w:szCs w:val="32"/>
        </w:rPr>
        <w:t xml:space="preserve"> </w:t>
      </w:r>
      <w:r>
        <w:rPr>
          <w:rFonts w:eastAsia="仿宋_GB2312"/>
          <w:sz w:val="32"/>
          <w:szCs w:val="32"/>
        </w:rPr>
        <w:t xml:space="preserve"> 市</w:t>
      </w:r>
      <w:r>
        <w:rPr>
          <w:rFonts w:hint="eastAsia" w:eastAsia="仿宋_GB2312"/>
          <w:sz w:val="32"/>
          <w:szCs w:val="32"/>
        </w:rPr>
        <w:t>级</w:t>
      </w:r>
      <w:r>
        <w:rPr>
          <w:rFonts w:eastAsia="仿宋_GB2312"/>
          <w:sz w:val="32"/>
          <w:szCs w:val="32"/>
        </w:rPr>
        <w:t>工程研究中心认定原则上每年开展一次。市发展改革委发布通知，明确</w:t>
      </w:r>
      <w:r>
        <w:rPr>
          <w:rFonts w:hint="eastAsia" w:eastAsia="仿宋_GB2312"/>
          <w:sz w:val="32"/>
          <w:szCs w:val="32"/>
        </w:rPr>
        <w:t>申报要求等事项。</w:t>
      </w:r>
    </w:p>
    <w:p w14:paraId="653F8B0E">
      <w:pPr>
        <w:tabs>
          <w:tab w:val="left" w:pos="1995"/>
          <w:tab w:val="left" w:pos="2149"/>
          <w:tab w:val="left" w:pos="2235"/>
        </w:tabs>
        <w:spacing w:line="560" w:lineRule="exact"/>
        <w:ind w:left="640"/>
        <w:rPr>
          <w:rFonts w:eastAsia="仿宋_GB2312"/>
          <w:sz w:val="32"/>
          <w:szCs w:val="32"/>
        </w:rPr>
      </w:pPr>
      <w:r>
        <w:rPr>
          <w:rFonts w:hint="eastAsia" w:eastAsia="黑体"/>
          <w:sz w:val="32"/>
          <w:szCs w:val="32"/>
        </w:rPr>
        <w:t xml:space="preserve">第六条 </w:t>
      </w:r>
      <w:r>
        <w:rPr>
          <w:rFonts w:eastAsia="黑体"/>
          <w:sz w:val="32"/>
          <w:szCs w:val="32"/>
        </w:rPr>
        <w:t xml:space="preserve"> </w:t>
      </w:r>
      <w:r>
        <w:rPr>
          <w:rFonts w:hint="eastAsia" w:eastAsia="仿宋_GB2312"/>
          <w:sz w:val="32"/>
          <w:szCs w:val="32"/>
        </w:rPr>
        <w:t>市工程研究中心</w:t>
      </w:r>
      <w:r>
        <w:rPr>
          <w:rFonts w:eastAsia="仿宋_GB2312"/>
          <w:sz w:val="32"/>
          <w:szCs w:val="32"/>
        </w:rPr>
        <w:t>应</w:t>
      </w:r>
      <w:r>
        <w:rPr>
          <w:rFonts w:hint="eastAsia" w:eastAsia="仿宋_GB2312"/>
          <w:sz w:val="32"/>
          <w:szCs w:val="32"/>
        </w:rPr>
        <w:t>当</w:t>
      </w:r>
      <w:r>
        <w:rPr>
          <w:rFonts w:eastAsia="仿宋_GB2312"/>
          <w:sz w:val="32"/>
          <w:szCs w:val="32"/>
        </w:rPr>
        <w:t>具备</w:t>
      </w:r>
      <w:r>
        <w:rPr>
          <w:rFonts w:hint="eastAsia" w:eastAsia="仿宋_GB2312"/>
          <w:sz w:val="32"/>
          <w:szCs w:val="32"/>
        </w:rPr>
        <w:t>以下</w:t>
      </w:r>
      <w:r>
        <w:rPr>
          <w:rFonts w:eastAsia="仿宋_GB2312"/>
          <w:sz w:val="32"/>
          <w:szCs w:val="32"/>
        </w:rPr>
        <w:t>条件</w:t>
      </w:r>
      <w:r>
        <w:rPr>
          <w:rFonts w:hint="eastAsia" w:eastAsia="仿宋_GB2312"/>
          <w:sz w:val="32"/>
          <w:szCs w:val="32"/>
        </w:rPr>
        <w:t>：</w:t>
      </w:r>
    </w:p>
    <w:p w14:paraId="418DE466">
      <w:pPr>
        <w:spacing w:line="560" w:lineRule="exact"/>
        <w:ind w:firstLine="645"/>
        <w:rPr>
          <w:rFonts w:ascii="仿宋_GB2312" w:hAnsi="仿宋_GB2312" w:eastAsia="仿宋_GB2312" w:cs="仿宋_GB2312"/>
          <w:sz w:val="32"/>
          <w:szCs w:val="32"/>
        </w:rPr>
      </w:pPr>
      <w:r>
        <w:rPr>
          <w:rFonts w:eastAsia="仿宋_GB2312"/>
          <w:sz w:val="32"/>
          <w:szCs w:val="32"/>
        </w:rPr>
        <w:t>（</w:t>
      </w:r>
      <w:r>
        <w:rPr>
          <w:rFonts w:hint="eastAsia" w:eastAsia="仿宋_GB2312"/>
          <w:sz w:val="32"/>
          <w:szCs w:val="32"/>
        </w:rPr>
        <w:t>一</w:t>
      </w:r>
      <w:r>
        <w:rPr>
          <w:rFonts w:eastAsia="仿宋_GB2312"/>
          <w:sz w:val="32"/>
          <w:szCs w:val="32"/>
        </w:rPr>
        <w:t>）申请单位为具有独立法人资格的企业、科研机构或高等院校，具有较强综合实力。</w:t>
      </w:r>
    </w:p>
    <w:p w14:paraId="2F8F3E3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eastAsia="仿宋_GB2312"/>
          <w:sz w:val="32"/>
          <w:szCs w:val="32"/>
        </w:rPr>
        <w:t>申请单位</w:t>
      </w:r>
      <w:r>
        <w:rPr>
          <w:rFonts w:hint="eastAsia" w:ascii="仿宋_GB2312" w:hAnsi="仿宋_GB2312" w:eastAsia="仿宋_GB2312" w:cs="仿宋_GB2312"/>
          <w:sz w:val="32"/>
          <w:szCs w:val="32"/>
        </w:rPr>
        <w:t>具有一批有待工程化开发、拥有自主知识产权和良好市场前景、处于行业先进水平的成熟关键技术或科技成果，具有主持市级及以上科研项目的经历，具有高水平的研究开发和技术集成能力及相应的人才队伍；</w:t>
      </w:r>
    </w:p>
    <w:p w14:paraId="6C67962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（三）申请单位具有以市场为导向，推动科技成果向生产力转化的工程化研究验证环境和能力；</w:t>
      </w:r>
    </w:p>
    <w:p w14:paraId="57E2001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（四）申请单位具有通过市场机制实现技术转移和扩散，促进科技成果产业化，形成良性循环的自我发展能力；</w:t>
      </w:r>
    </w:p>
    <w:p w14:paraId="770FD89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（五）申请单位具有科技成果产业化的能力，条件允许的还应当具有工程设计、评估或建设的咨询与服务能力；</w:t>
      </w:r>
    </w:p>
    <w:p w14:paraId="031434B3">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eastAsia="仿宋_GB2312"/>
          <w:sz w:val="32"/>
          <w:szCs w:val="32"/>
        </w:rPr>
        <w:t>申请单位</w:t>
      </w:r>
      <w:r>
        <w:rPr>
          <w:rFonts w:hint="eastAsia" w:ascii="仿宋_GB2312" w:hAnsi="仿宋_GB2312" w:eastAsia="仿宋_GB2312" w:cs="仿宋_GB2312"/>
          <w:sz w:val="32"/>
          <w:szCs w:val="32"/>
        </w:rPr>
        <w:t>具有完善的人才激励、成果转化激励和知识产权管理等管理制度；</w:t>
      </w:r>
    </w:p>
    <w:p w14:paraId="34A9245A">
      <w:pPr>
        <w:spacing w:line="560" w:lineRule="exact"/>
        <w:ind w:firstLine="640"/>
        <w:rPr>
          <w:rFonts w:eastAsia="仿宋_GB2312"/>
          <w:sz w:val="32"/>
          <w:szCs w:val="32"/>
        </w:rPr>
      </w:pPr>
      <w:r>
        <w:rPr>
          <w:rFonts w:hint="eastAsia" w:ascii="仿宋_GB2312" w:hAnsi="仿宋_GB2312" w:eastAsia="仿宋_GB2312" w:cs="仿宋_GB2312"/>
          <w:sz w:val="32"/>
          <w:szCs w:val="32"/>
        </w:rPr>
        <w:t>（七）</w:t>
      </w:r>
      <w:r>
        <w:rPr>
          <w:rFonts w:hint="eastAsia" w:eastAsia="仿宋_GB2312"/>
          <w:sz w:val="32"/>
          <w:szCs w:val="32"/>
        </w:rPr>
        <w:t>市级</w:t>
      </w:r>
      <w:r>
        <w:rPr>
          <w:rFonts w:hint="eastAsia" w:ascii="仿宋_GB2312" w:hAnsi="仿宋_GB2312" w:eastAsia="仿宋_GB2312" w:cs="仿宋_GB2312"/>
          <w:sz w:val="32"/>
          <w:szCs w:val="32"/>
        </w:rPr>
        <w:t>工程研究</w:t>
      </w:r>
      <w:r>
        <w:rPr>
          <w:rFonts w:eastAsia="仿宋_GB2312"/>
          <w:sz w:val="32"/>
          <w:szCs w:val="32"/>
        </w:rPr>
        <w:t>中心固定研发场所面积应不少于1200平方米，研发设备原值原则上不少于800万元（研究方向为信息服务或未来产业方向的工程研究中心可分别放低至600平方米和400万元），固定科研人员不少于20人；</w:t>
      </w:r>
    </w:p>
    <w:p w14:paraId="6E334D44">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eastAsia="仿宋_GB2312"/>
          <w:sz w:val="32"/>
          <w:szCs w:val="32"/>
        </w:rPr>
        <w:t>申请单位</w:t>
      </w:r>
      <w:r>
        <w:rPr>
          <w:rFonts w:hint="eastAsia" w:ascii="仿宋_GB2312" w:hAnsi="仿宋_GB2312" w:eastAsia="仿宋_GB2312" w:cs="仿宋_GB2312"/>
          <w:sz w:val="32"/>
          <w:szCs w:val="32"/>
        </w:rPr>
        <w:t>未因严重违法失信行为被司法、行政机关依法列为联合惩戒对象名单。</w:t>
      </w:r>
    </w:p>
    <w:p w14:paraId="5E66E679">
      <w:pPr>
        <w:spacing w:line="560" w:lineRule="exact"/>
        <w:ind w:firstLine="640"/>
        <w:rPr>
          <w:rFonts w:ascii="仿宋_GB2312" w:hAnsi="仿宋_GB2312" w:eastAsia="仿宋_GB2312" w:cs="仿宋_GB2312"/>
          <w:sz w:val="32"/>
          <w:szCs w:val="32"/>
        </w:rPr>
      </w:pPr>
      <w:r>
        <w:rPr>
          <w:rFonts w:hint="eastAsia" w:ascii="黑体" w:hAnsi="黑体" w:eastAsia="黑体" w:cs="仿宋_GB2312"/>
          <w:sz w:val="32"/>
          <w:szCs w:val="32"/>
        </w:rPr>
        <w:t>第七条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对创新能力强、机制健全、示范作用大、业绩显著、符合条件的</w:t>
      </w:r>
      <w:r>
        <w:rPr>
          <w:rFonts w:hint="eastAsia" w:eastAsia="仿宋_GB2312"/>
          <w:sz w:val="32"/>
          <w:szCs w:val="32"/>
        </w:rPr>
        <w:t>工程研究中心</w:t>
      </w:r>
      <w:r>
        <w:rPr>
          <w:rFonts w:hint="eastAsia" w:ascii="仿宋_GB2312" w:hAnsi="仿宋_GB2312" w:eastAsia="仿宋_GB2312" w:cs="仿宋_GB2312"/>
          <w:sz w:val="32"/>
          <w:szCs w:val="32"/>
        </w:rPr>
        <w:t>优先予以认定：</w:t>
      </w:r>
    </w:p>
    <w:p w14:paraId="535A1D6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（一）研究方向属于战略性新兴产业、未来产业，以及数字经济、平台经济、低空经济等新兴经济业态的；</w:t>
      </w:r>
    </w:p>
    <w:p w14:paraId="667B61A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（二）承担国家、省关键核心技术攻关任务、重点科研项目的；</w:t>
      </w:r>
    </w:p>
    <w:p w14:paraId="36113D9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（三）研发设施实行开放运行和共用共享，能够为行业内新产品、新技术、新工艺开发提供场景验证，并为各类创新主体开展实验室技术熟化、工程化放大等活动提供研发和试验条件的；</w:t>
      </w:r>
    </w:p>
    <w:p w14:paraId="4F17CD1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（四）为行业提供工程技术咨询服务和研究产业技术标准，向行业转移和扩散承担国家和行业任务所形成的技术成果的；</w:t>
      </w:r>
    </w:p>
    <w:p w14:paraId="561727C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（五）近三年内引进省级以上产业高端人才并长期在工程研究中心工作的。</w:t>
      </w:r>
    </w:p>
    <w:p w14:paraId="3C881C61">
      <w:pPr>
        <w:tabs>
          <w:tab w:val="left" w:pos="1995"/>
          <w:tab w:val="left" w:pos="2235"/>
        </w:tabs>
        <w:spacing w:line="560" w:lineRule="exact"/>
        <w:ind w:firstLine="640" w:firstLineChars="200"/>
        <w:rPr>
          <w:rFonts w:eastAsia="仿宋_GB2312"/>
          <w:sz w:val="32"/>
          <w:szCs w:val="32"/>
        </w:rPr>
      </w:pPr>
      <w:r>
        <w:rPr>
          <w:rFonts w:hint="eastAsia" w:ascii="黑体" w:hAnsi="黑体" w:eastAsia="黑体" w:cs="仿宋_GB2312"/>
          <w:sz w:val="32"/>
          <w:szCs w:val="32"/>
        </w:rPr>
        <w:t>第八条</w:t>
      </w:r>
      <w:r>
        <w:rPr>
          <w:rFonts w:hint="eastAsia" w:eastAsia="仿宋_GB2312"/>
          <w:sz w:val="32"/>
          <w:szCs w:val="32"/>
        </w:rPr>
        <w:t xml:space="preserve"> </w:t>
      </w:r>
      <w:r>
        <w:rPr>
          <w:rFonts w:eastAsia="仿宋_GB2312"/>
          <w:sz w:val="32"/>
          <w:szCs w:val="32"/>
        </w:rPr>
        <w:t xml:space="preserve"> 工程研究中心鼓励采用法人形式组建和运行。对于采取非法人形式组建的工程研究中心，需要与依托单位在人、财、物的管理上保持清晰边界，并明确专职机构或部门进行管理，确保评价指标数据能够独立核算、有据可查。</w:t>
      </w:r>
      <w:bookmarkStart w:id="0" w:name="12"/>
    </w:p>
    <w:p w14:paraId="4FFD3BD4">
      <w:pPr>
        <w:tabs>
          <w:tab w:val="left" w:pos="1995"/>
          <w:tab w:val="left" w:pos="2149"/>
          <w:tab w:val="left" w:pos="2235"/>
        </w:tabs>
        <w:spacing w:line="560" w:lineRule="exact"/>
        <w:ind w:firstLine="640" w:firstLineChars="200"/>
        <w:rPr>
          <w:rFonts w:eastAsia="仿宋_GB2312"/>
          <w:sz w:val="32"/>
          <w:szCs w:val="32"/>
        </w:rPr>
      </w:pPr>
      <w:r>
        <w:rPr>
          <w:rFonts w:hint="eastAsia" w:ascii="黑体" w:hAnsi="黑体" w:eastAsia="黑体" w:cs="仿宋_GB2312"/>
          <w:sz w:val="32"/>
          <w:szCs w:val="32"/>
        </w:rPr>
        <w:t>第九条</w:t>
      </w:r>
      <w:r>
        <w:rPr>
          <w:rFonts w:hint="eastAsia" w:eastAsia="仿宋_GB2312"/>
          <w:sz w:val="32"/>
          <w:szCs w:val="32"/>
        </w:rPr>
        <w:t xml:space="preserve"> </w:t>
      </w:r>
      <w:r>
        <w:rPr>
          <w:rFonts w:eastAsia="仿宋_GB2312"/>
          <w:sz w:val="32"/>
          <w:szCs w:val="32"/>
        </w:rPr>
        <w:t xml:space="preserve"> 鼓励相关领域的优势企业、高等院校、科研院所组</w:t>
      </w:r>
      <w:r>
        <w:rPr>
          <w:rFonts w:hint="eastAsia" w:eastAsia="仿宋_GB2312"/>
          <w:sz w:val="32"/>
          <w:szCs w:val="32"/>
        </w:rPr>
        <w:t>成</w:t>
      </w:r>
      <w:r>
        <w:rPr>
          <w:rFonts w:eastAsia="仿宋_GB2312"/>
          <w:sz w:val="32"/>
          <w:szCs w:val="32"/>
        </w:rPr>
        <w:t>创新联合体，共同申请组建</w:t>
      </w:r>
      <w:r>
        <w:rPr>
          <w:rFonts w:hint="eastAsia" w:eastAsia="仿宋_GB2312"/>
          <w:sz w:val="32"/>
          <w:szCs w:val="32"/>
        </w:rPr>
        <w:t>市级</w:t>
      </w:r>
      <w:r>
        <w:rPr>
          <w:rFonts w:eastAsia="仿宋_GB2312"/>
          <w:sz w:val="32"/>
          <w:szCs w:val="32"/>
        </w:rPr>
        <w:t>工程研究中心，促进产学研金服用融合创新发展。采用联合体方式组建的工程研究中心参与单位原则上不超过</w:t>
      </w:r>
      <w:r>
        <w:rPr>
          <w:rFonts w:hint="eastAsia" w:eastAsia="仿宋_GB2312"/>
          <w:sz w:val="32"/>
          <w:szCs w:val="32"/>
        </w:rPr>
        <w:t>三</w:t>
      </w:r>
      <w:r>
        <w:rPr>
          <w:rFonts w:eastAsia="仿宋_GB2312"/>
          <w:sz w:val="32"/>
          <w:szCs w:val="32"/>
        </w:rPr>
        <w:t>家，并明确其中一家发挥主要作用的为牵头单位，只对牵头单位进行挂牌。</w:t>
      </w:r>
    </w:p>
    <w:p w14:paraId="6EBA6A73">
      <w:pPr>
        <w:tabs>
          <w:tab w:val="left" w:pos="1995"/>
          <w:tab w:val="left" w:pos="2149"/>
          <w:tab w:val="left" w:pos="2235"/>
        </w:tabs>
        <w:spacing w:line="560" w:lineRule="exact"/>
        <w:ind w:firstLine="640" w:firstLineChars="200"/>
        <w:rPr>
          <w:rFonts w:eastAsia="仿宋_GB2312"/>
          <w:sz w:val="32"/>
          <w:szCs w:val="32"/>
        </w:rPr>
      </w:pPr>
      <w:r>
        <w:rPr>
          <w:rFonts w:hint="eastAsia" w:ascii="黑体" w:hAnsi="黑体" w:eastAsia="黑体" w:cs="仿宋_GB2312"/>
          <w:sz w:val="32"/>
          <w:szCs w:val="32"/>
        </w:rPr>
        <w:t>第十条</w:t>
      </w:r>
      <w:r>
        <w:rPr>
          <w:rFonts w:hint="eastAsia" w:eastAsia="仿宋_GB2312"/>
          <w:sz w:val="32"/>
          <w:szCs w:val="32"/>
        </w:rPr>
        <w:t xml:space="preserve"> </w:t>
      </w:r>
      <w:r>
        <w:rPr>
          <w:rFonts w:eastAsia="仿宋_GB2312"/>
          <w:sz w:val="32"/>
          <w:szCs w:val="32"/>
        </w:rPr>
        <w:t xml:space="preserve"> 市级工程研究中心认定程序如下：</w:t>
      </w:r>
    </w:p>
    <w:p w14:paraId="7BB7B4F2">
      <w:pPr>
        <w:spacing w:line="560" w:lineRule="exact"/>
        <w:ind w:firstLine="645"/>
        <w:rPr>
          <w:rFonts w:eastAsia="仿宋_GB2312"/>
          <w:sz w:val="32"/>
          <w:szCs w:val="32"/>
        </w:rPr>
      </w:pPr>
      <w:r>
        <w:rPr>
          <w:rFonts w:eastAsia="仿宋_GB2312"/>
          <w:sz w:val="32"/>
          <w:szCs w:val="32"/>
        </w:rPr>
        <w:t>（一）申报单位向主管部门提出申请并按要求提交申请材料，申请材料包括：申请报告、</w:t>
      </w:r>
      <w:r>
        <w:rPr>
          <w:rFonts w:eastAsia="仿宋_GB2312"/>
          <w:kern w:val="0"/>
          <w:sz w:val="32"/>
          <w:szCs w:val="32"/>
        </w:rPr>
        <w:t>评价数据表及附表</w:t>
      </w:r>
      <w:r>
        <w:rPr>
          <w:rFonts w:eastAsia="仿宋_GB2312"/>
          <w:sz w:val="32"/>
          <w:szCs w:val="32"/>
        </w:rPr>
        <w:t>、真实性承诺及有关证明材料。</w:t>
      </w:r>
    </w:p>
    <w:p w14:paraId="72F934D8">
      <w:pPr>
        <w:spacing w:line="560" w:lineRule="exact"/>
        <w:ind w:firstLine="645"/>
        <w:rPr>
          <w:rFonts w:eastAsia="仿宋_GB2312"/>
          <w:sz w:val="32"/>
          <w:szCs w:val="32"/>
        </w:rPr>
      </w:pPr>
      <w:r>
        <w:rPr>
          <w:rFonts w:eastAsia="仿宋_GB2312"/>
          <w:sz w:val="32"/>
          <w:szCs w:val="32"/>
        </w:rPr>
        <w:t>（二）主管部门负责对申报单位的申请材料进行初审，择优确定推荐申报单位，并将申请材料和推荐意见在规定时间上报市发展改革委。</w:t>
      </w:r>
    </w:p>
    <w:p w14:paraId="2ADDA050">
      <w:pPr>
        <w:spacing w:line="560" w:lineRule="exact"/>
        <w:ind w:firstLine="645"/>
        <w:rPr>
          <w:rFonts w:eastAsia="仿宋_GB2312"/>
          <w:sz w:val="32"/>
          <w:szCs w:val="32"/>
        </w:rPr>
      </w:pPr>
      <w:r>
        <w:rPr>
          <w:rFonts w:eastAsia="仿宋_GB2312"/>
          <w:sz w:val="32"/>
          <w:szCs w:val="32"/>
        </w:rPr>
        <w:t>（三）市发展改革委受理申报文件后，委托第三方机构组织专家对申请材料进行评审打分，</w:t>
      </w:r>
      <w:r>
        <w:rPr>
          <w:rFonts w:hint="eastAsia" w:eastAsia="仿宋_GB2312"/>
          <w:sz w:val="32"/>
          <w:szCs w:val="32"/>
        </w:rPr>
        <w:t>综合评定后提出拟认定</w:t>
      </w:r>
      <w:r>
        <w:rPr>
          <w:rFonts w:eastAsia="仿宋_GB2312"/>
          <w:sz w:val="32"/>
          <w:szCs w:val="32"/>
        </w:rPr>
        <w:t>市级工程研究中心</w:t>
      </w:r>
      <w:r>
        <w:rPr>
          <w:rFonts w:hint="eastAsia" w:eastAsia="仿宋_GB2312"/>
          <w:sz w:val="32"/>
          <w:szCs w:val="32"/>
        </w:rPr>
        <w:t>名单，通过市发展改革委门户网站公示，发文公布认定结果。</w:t>
      </w:r>
      <w:bookmarkEnd w:id="0"/>
    </w:p>
    <w:p w14:paraId="56C563DB">
      <w:pPr>
        <w:spacing w:line="560" w:lineRule="exact"/>
        <w:ind w:firstLine="645"/>
        <w:rPr>
          <w:rFonts w:eastAsia="仿宋_GB2312"/>
          <w:sz w:val="32"/>
          <w:szCs w:val="32"/>
        </w:rPr>
      </w:pPr>
    </w:p>
    <w:p w14:paraId="0BE9B501">
      <w:pPr>
        <w:spacing w:line="560" w:lineRule="exact"/>
        <w:jc w:val="center"/>
        <w:rPr>
          <w:rFonts w:eastAsia="黑体"/>
          <w:sz w:val="32"/>
          <w:szCs w:val="32"/>
        </w:rPr>
      </w:pPr>
      <w:r>
        <w:rPr>
          <w:rFonts w:eastAsia="黑体"/>
          <w:sz w:val="32"/>
          <w:szCs w:val="32"/>
        </w:rPr>
        <w:t>第三章  运行评价</w:t>
      </w:r>
    </w:p>
    <w:p w14:paraId="07AB3E8D"/>
    <w:p w14:paraId="60D9816D">
      <w:pPr>
        <w:tabs>
          <w:tab w:val="left" w:pos="1995"/>
          <w:tab w:val="left" w:pos="2149"/>
          <w:tab w:val="left" w:pos="2235"/>
        </w:tabs>
        <w:spacing w:line="560" w:lineRule="exact"/>
        <w:ind w:firstLine="640" w:firstLineChars="200"/>
        <w:rPr>
          <w:rFonts w:eastAsia="Times New Roman"/>
          <w:sz w:val="32"/>
          <w:szCs w:val="32"/>
        </w:rPr>
      </w:pPr>
      <w:r>
        <w:rPr>
          <w:rFonts w:hint="eastAsia" w:ascii="黑体" w:hAnsi="黑体" w:eastAsia="黑体" w:cs="仿宋_GB2312"/>
          <w:sz w:val="32"/>
          <w:szCs w:val="32"/>
        </w:rPr>
        <w:t xml:space="preserve">第十一条 </w:t>
      </w:r>
      <w:r>
        <w:rPr>
          <w:rFonts w:ascii="黑体" w:hAnsi="黑体" w:eastAsia="黑体" w:cs="仿宋_GB2312"/>
          <w:sz w:val="32"/>
          <w:szCs w:val="32"/>
        </w:rPr>
        <w:t xml:space="preserve"> </w:t>
      </w:r>
      <w:r>
        <w:rPr>
          <w:rFonts w:eastAsia="仿宋_GB2312"/>
          <w:sz w:val="32"/>
          <w:szCs w:val="32"/>
        </w:rPr>
        <w:t>市级工程研究中心实行定期评价、动态调整的运行评价制度</w:t>
      </w:r>
      <w:bookmarkStart w:id="1" w:name="24"/>
      <w:r>
        <w:rPr>
          <w:rFonts w:hint="eastAsia" w:eastAsia="仿宋_GB2312"/>
          <w:sz w:val="32"/>
          <w:szCs w:val="32"/>
        </w:rPr>
        <w:t>。市发展改革委每三年组织一次市级</w:t>
      </w:r>
      <w:r>
        <w:rPr>
          <w:rFonts w:eastAsia="仿宋_GB2312"/>
          <w:sz w:val="32"/>
          <w:szCs w:val="32"/>
        </w:rPr>
        <w:t>工程研究</w:t>
      </w:r>
      <w:r>
        <w:rPr>
          <w:rFonts w:hint="eastAsia" w:eastAsia="仿宋_GB2312"/>
          <w:sz w:val="32"/>
          <w:szCs w:val="32"/>
        </w:rPr>
        <w:t>中心运行评价。</w:t>
      </w:r>
    </w:p>
    <w:bookmarkEnd w:id="1"/>
    <w:p w14:paraId="5BC61163">
      <w:pPr>
        <w:tabs>
          <w:tab w:val="left" w:pos="1995"/>
          <w:tab w:val="left" w:pos="2149"/>
          <w:tab w:val="left" w:pos="2235"/>
        </w:tabs>
        <w:spacing w:line="560" w:lineRule="exact"/>
        <w:ind w:firstLine="640" w:firstLineChars="200"/>
        <w:rPr>
          <w:rFonts w:eastAsia="仿宋_GB2312"/>
          <w:sz w:val="32"/>
          <w:szCs w:val="32"/>
        </w:rPr>
      </w:pPr>
      <w:r>
        <w:rPr>
          <w:rFonts w:hint="eastAsia" w:ascii="黑体" w:hAnsi="黑体" w:eastAsia="黑体" w:cs="仿宋_GB2312"/>
          <w:sz w:val="32"/>
          <w:szCs w:val="32"/>
        </w:rPr>
        <w:t>第十二条</w:t>
      </w:r>
      <w:r>
        <w:rPr>
          <w:rFonts w:hint="eastAsia" w:eastAsia="仿宋_GB2312"/>
          <w:sz w:val="32"/>
          <w:szCs w:val="32"/>
        </w:rPr>
        <w:t xml:space="preserve"> </w:t>
      </w:r>
      <w:r>
        <w:rPr>
          <w:rFonts w:eastAsia="仿宋_GB2312"/>
          <w:sz w:val="32"/>
          <w:szCs w:val="32"/>
        </w:rPr>
        <w:t xml:space="preserve"> 市级工程研究中心评价程序如下：</w:t>
      </w:r>
    </w:p>
    <w:p w14:paraId="66A1F76F">
      <w:pPr>
        <w:spacing w:line="560" w:lineRule="exact"/>
        <w:ind w:firstLine="640" w:firstLineChars="200"/>
        <w:rPr>
          <w:rFonts w:eastAsia="仿宋_GB2312"/>
          <w:sz w:val="32"/>
          <w:szCs w:val="32"/>
        </w:rPr>
      </w:pPr>
      <w:r>
        <w:rPr>
          <w:rFonts w:eastAsia="仿宋_GB2312"/>
          <w:sz w:val="32"/>
          <w:szCs w:val="32"/>
        </w:rPr>
        <w:t>（一）材料收集</w:t>
      </w:r>
      <w:r>
        <w:rPr>
          <w:rFonts w:hint="eastAsia" w:eastAsia="仿宋_GB2312"/>
          <w:sz w:val="32"/>
          <w:szCs w:val="32"/>
        </w:rPr>
        <w:t>。</w:t>
      </w:r>
      <w:r>
        <w:rPr>
          <w:rFonts w:eastAsia="仿宋_GB2312"/>
          <w:sz w:val="32"/>
          <w:szCs w:val="32"/>
        </w:rPr>
        <w:t>根据统一工作部署，在</w:t>
      </w:r>
      <w:r>
        <w:rPr>
          <w:rFonts w:hint="eastAsia" w:eastAsia="仿宋_GB2312"/>
          <w:sz w:val="32"/>
          <w:szCs w:val="32"/>
        </w:rPr>
        <w:t>市级</w:t>
      </w:r>
      <w:r>
        <w:rPr>
          <w:rFonts w:eastAsia="仿宋_GB2312"/>
          <w:sz w:val="32"/>
          <w:szCs w:val="32"/>
        </w:rPr>
        <w:t>工程研究中心评价年，</w:t>
      </w:r>
      <w:r>
        <w:rPr>
          <w:rFonts w:hint="eastAsia" w:eastAsia="仿宋_GB2312"/>
          <w:sz w:val="32"/>
          <w:szCs w:val="32"/>
        </w:rPr>
        <w:t>市级</w:t>
      </w:r>
      <w:r>
        <w:rPr>
          <w:rFonts w:eastAsia="仿宋_GB2312"/>
          <w:sz w:val="32"/>
          <w:szCs w:val="32"/>
        </w:rPr>
        <w:t>工程研究中心向主管部门提交</w:t>
      </w:r>
      <w:r>
        <w:rPr>
          <w:rFonts w:eastAsia="仿宋_GB2312"/>
          <w:kern w:val="0"/>
          <w:sz w:val="32"/>
          <w:szCs w:val="32"/>
        </w:rPr>
        <w:t>评价</w:t>
      </w:r>
      <w:r>
        <w:rPr>
          <w:rFonts w:eastAsia="仿宋_GB2312"/>
          <w:sz w:val="32"/>
          <w:szCs w:val="32"/>
        </w:rPr>
        <w:t>材料。对于上次运行评价为</w:t>
      </w:r>
      <w:r>
        <w:rPr>
          <w:rFonts w:hint="eastAsia" w:eastAsia="仿宋_GB2312"/>
          <w:sz w:val="32"/>
          <w:szCs w:val="32"/>
        </w:rPr>
        <w:t>良好及以上</w:t>
      </w:r>
      <w:r>
        <w:rPr>
          <w:rFonts w:eastAsia="仿宋_GB2312"/>
          <w:sz w:val="32"/>
          <w:szCs w:val="32"/>
        </w:rPr>
        <w:t>等次的市级工程研究中心，运行评价材料可根据评价通知要求予以适当简化。</w:t>
      </w:r>
    </w:p>
    <w:p w14:paraId="5AF78B39">
      <w:pPr>
        <w:spacing w:line="560" w:lineRule="exact"/>
        <w:ind w:firstLine="645"/>
        <w:rPr>
          <w:rFonts w:eastAsia="仿宋_GB2312"/>
          <w:sz w:val="32"/>
          <w:szCs w:val="32"/>
        </w:rPr>
      </w:pPr>
      <w:r>
        <w:rPr>
          <w:rFonts w:eastAsia="仿宋_GB2312"/>
          <w:sz w:val="32"/>
          <w:szCs w:val="32"/>
        </w:rPr>
        <w:t>（二）材料初审</w:t>
      </w:r>
      <w:r>
        <w:rPr>
          <w:rFonts w:hint="eastAsia" w:eastAsia="仿宋_GB2312"/>
          <w:sz w:val="32"/>
          <w:szCs w:val="32"/>
        </w:rPr>
        <w:t>。</w:t>
      </w:r>
      <w:r>
        <w:rPr>
          <w:rFonts w:eastAsia="仿宋_GB2312"/>
          <w:sz w:val="32"/>
          <w:szCs w:val="32"/>
        </w:rPr>
        <w:t>主管部门负责对评价材料的真实性、准确性和规范性进行审查，并出具审查意见，报送市发展改革委。</w:t>
      </w:r>
    </w:p>
    <w:p w14:paraId="2FF981EB">
      <w:pPr>
        <w:spacing w:line="560" w:lineRule="exact"/>
        <w:ind w:firstLine="645"/>
        <w:rPr>
          <w:rFonts w:eastAsia="仿宋_GB2312"/>
          <w:sz w:val="32"/>
          <w:szCs w:val="32"/>
        </w:rPr>
      </w:pPr>
      <w:r>
        <w:rPr>
          <w:rFonts w:eastAsia="仿宋_GB2312"/>
          <w:sz w:val="32"/>
          <w:szCs w:val="32"/>
        </w:rPr>
        <w:t>（三）评价方式</w:t>
      </w:r>
      <w:r>
        <w:rPr>
          <w:rFonts w:hint="eastAsia" w:eastAsia="仿宋_GB2312"/>
          <w:sz w:val="32"/>
          <w:szCs w:val="32"/>
        </w:rPr>
        <w:t>。</w:t>
      </w:r>
      <w:r>
        <w:rPr>
          <w:rFonts w:eastAsia="仿宋_GB2312"/>
          <w:sz w:val="32"/>
          <w:szCs w:val="32"/>
        </w:rPr>
        <w:t>市发展改革委委托第三方机构对评价材料进行核查，并依据评价标准进行评价、打分。</w:t>
      </w:r>
    </w:p>
    <w:p w14:paraId="38EECCFA">
      <w:pPr>
        <w:spacing w:line="560" w:lineRule="exact"/>
        <w:ind w:firstLine="645"/>
        <w:rPr>
          <w:rFonts w:eastAsia="仿宋_GB2312"/>
          <w:sz w:val="32"/>
          <w:szCs w:val="32"/>
        </w:rPr>
      </w:pPr>
      <w:r>
        <w:rPr>
          <w:rFonts w:hint="eastAsia" w:eastAsia="仿宋_GB2312"/>
          <w:sz w:val="32"/>
          <w:szCs w:val="32"/>
        </w:rPr>
        <w:t>（</w:t>
      </w:r>
      <w:r>
        <w:rPr>
          <w:rFonts w:eastAsia="仿宋_GB2312"/>
          <w:sz w:val="32"/>
          <w:szCs w:val="32"/>
        </w:rPr>
        <w:t>四</w:t>
      </w:r>
      <w:r>
        <w:rPr>
          <w:rFonts w:hint="eastAsia" w:eastAsia="仿宋_GB2312"/>
          <w:sz w:val="32"/>
          <w:szCs w:val="32"/>
        </w:rPr>
        <w:t>）</w:t>
      </w:r>
      <w:r>
        <w:rPr>
          <w:rFonts w:eastAsia="仿宋_GB2312"/>
          <w:sz w:val="32"/>
          <w:szCs w:val="32"/>
        </w:rPr>
        <w:t>评价结果</w:t>
      </w:r>
      <w:r>
        <w:rPr>
          <w:rFonts w:hint="eastAsia" w:eastAsia="仿宋_GB2312"/>
          <w:sz w:val="32"/>
          <w:szCs w:val="32"/>
        </w:rPr>
        <w:t>。</w:t>
      </w:r>
      <w:r>
        <w:rPr>
          <w:rFonts w:eastAsia="仿宋_GB2312"/>
          <w:sz w:val="32"/>
          <w:szCs w:val="32"/>
        </w:rPr>
        <w:t>市发展改革委对评价结果进行审查确认后，</w:t>
      </w:r>
      <w:r>
        <w:rPr>
          <w:rFonts w:hint="eastAsia" w:eastAsia="仿宋_GB2312"/>
          <w:sz w:val="32"/>
          <w:szCs w:val="32"/>
        </w:rPr>
        <w:t>向主管部门进行通报</w:t>
      </w:r>
      <w:r>
        <w:rPr>
          <w:rFonts w:eastAsia="仿宋_GB2312"/>
          <w:sz w:val="32"/>
          <w:szCs w:val="32"/>
        </w:rPr>
        <w:t>。评价结果在85分（含）以上为优秀；60分（含）-</w:t>
      </w:r>
      <w:r>
        <w:rPr>
          <w:rFonts w:hint="eastAsia" w:eastAsia="仿宋_GB2312"/>
          <w:sz w:val="32"/>
          <w:szCs w:val="32"/>
        </w:rPr>
        <w:t>8</w:t>
      </w:r>
      <w:r>
        <w:rPr>
          <w:rFonts w:eastAsia="仿宋_GB2312"/>
          <w:sz w:val="32"/>
          <w:szCs w:val="32"/>
        </w:rPr>
        <w:t>5分为良好；60分以下为不及格。</w:t>
      </w:r>
    </w:p>
    <w:p w14:paraId="2438F155">
      <w:pPr>
        <w:tabs>
          <w:tab w:val="left" w:pos="1995"/>
          <w:tab w:val="left" w:pos="2149"/>
          <w:tab w:val="left" w:pos="2235"/>
        </w:tabs>
        <w:spacing w:line="560" w:lineRule="exact"/>
        <w:ind w:firstLine="640" w:firstLineChars="200"/>
        <w:rPr>
          <w:rFonts w:eastAsia="仿宋_GB2312"/>
          <w:sz w:val="32"/>
          <w:szCs w:val="32"/>
        </w:rPr>
      </w:pPr>
      <w:r>
        <w:rPr>
          <w:rFonts w:hint="eastAsia" w:ascii="黑体" w:hAnsi="黑体" w:eastAsia="黑体" w:cs="仿宋_GB2312"/>
          <w:sz w:val="32"/>
          <w:szCs w:val="32"/>
        </w:rPr>
        <w:t>第十三条</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对于上次年度评价结果为优秀的市级工程研究中心，</w:t>
      </w:r>
      <w:r>
        <w:rPr>
          <w:rFonts w:eastAsia="仿宋_GB2312"/>
          <w:sz w:val="32"/>
          <w:szCs w:val="32"/>
        </w:rPr>
        <w:t>择优推荐申请山东省</w:t>
      </w:r>
      <w:r>
        <w:rPr>
          <w:rFonts w:hint="eastAsia" w:eastAsia="仿宋_GB2312"/>
          <w:sz w:val="32"/>
          <w:szCs w:val="32"/>
        </w:rPr>
        <w:t>工程研究</w:t>
      </w:r>
      <w:r>
        <w:rPr>
          <w:rFonts w:eastAsia="仿宋_GB2312"/>
          <w:sz w:val="32"/>
          <w:szCs w:val="32"/>
        </w:rPr>
        <w:t>中心认定。</w:t>
      </w:r>
    </w:p>
    <w:p w14:paraId="14B57546">
      <w:pPr>
        <w:tabs>
          <w:tab w:val="left" w:pos="2205"/>
          <w:tab w:val="left" w:pos="2235"/>
          <w:tab w:val="left" w:pos="2646"/>
        </w:tabs>
        <w:spacing w:line="560" w:lineRule="exact"/>
        <w:ind w:firstLine="640" w:firstLineChars="200"/>
        <w:rPr>
          <w:rFonts w:eastAsia="仿宋_GB2312"/>
          <w:sz w:val="32"/>
          <w:szCs w:val="32"/>
        </w:rPr>
      </w:pPr>
    </w:p>
    <w:p w14:paraId="655A5C41">
      <w:pPr>
        <w:spacing w:line="560" w:lineRule="exact"/>
        <w:ind w:firstLine="3040" w:firstLineChars="950"/>
        <w:rPr>
          <w:rFonts w:eastAsia="黑体"/>
          <w:sz w:val="32"/>
          <w:szCs w:val="32"/>
        </w:rPr>
      </w:pPr>
      <w:r>
        <w:rPr>
          <w:rFonts w:eastAsia="黑体"/>
          <w:sz w:val="32"/>
          <w:szCs w:val="32"/>
        </w:rPr>
        <w:t xml:space="preserve">第四章 </w:t>
      </w:r>
      <w:r>
        <w:rPr>
          <w:rFonts w:eastAsia="黑体"/>
          <w:sz w:val="32"/>
          <w:szCs w:val="32"/>
          <w:lang w:val="en"/>
        </w:rPr>
        <w:t xml:space="preserve"> </w:t>
      </w:r>
      <w:r>
        <w:rPr>
          <w:rFonts w:eastAsia="黑体"/>
          <w:sz w:val="32"/>
          <w:szCs w:val="32"/>
        </w:rPr>
        <w:t>监督管理</w:t>
      </w:r>
    </w:p>
    <w:p w14:paraId="54672E68">
      <w:pPr>
        <w:spacing w:line="560" w:lineRule="exact"/>
        <w:rPr>
          <w:rFonts w:eastAsia="黑体"/>
          <w:sz w:val="32"/>
          <w:szCs w:val="32"/>
        </w:rPr>
      </w:pPr>
      <w:r>
        <w:rPr>
          <w:rFonts w:hint="eastAsia" w:eastAsia="黑体"/>
          <w:sz w:val="32"/>
          <w:szCs w:val="32"/>
        </w:rPr>
        <w:t xml:space="preserve"> </w:t>
      </w:r>
      <w:r>
        <w:rPr>
          <w:rFonts w:eastAsia="黑体"/>
          <w:sz w:val="32"/>
          <w:szCs w:val="32"/>
        </w:rPr>
        <w:t xml:space="preserve">   </w:t>
      </w:r>
    </w:p>
    <w:p w14:paraId="78DF3EC7">
      <w:pPr>
        <w:tabs>
          <w:tab w:val="left" w:pos="1995"/>
          <w:tab w:val="left" w:pos="2149"/>
          <w:tab w:val="left" w:pos="2235"/>
        </w:tabs>
        <w:spacing w:line="560" w:lineRule="exact"/>
        <w:ind w:firstLine="640" w:firstLineChars="200"/>
        <w:rPr>
          <w:rFonts w:eastAsia="仿宋_GB2312"/>
          <w:bCs/>
          <w:spacing w:val="4"/>
          <w:kern w:val="0"/>
          <w:sz w:val="32"/>
          <w:szCs w:val="32"/>
        </w:rPr>
      </w:pPr>
      <w:r>
        <w:rPr>
          <w:rFonts w:hint="eastAsia" w:ascii="黑体" w:hAnsi="黑体" w:eastAsia="黑体" w:cs="仿宋_GB2312"/>
          <w:sz w:val="32"/>
          <w:szCs w:val="32"/>
        </w:rPr>
        <w:t>第十四条</w:t>
      </w:r>
      <w:r>
        <w:rPr>
          <w:rFonts w:hint="eastAsia" w:eastAsia="仿宋_GB2312"/>
          <w:bCs/>
          <w:spacing w:val="4"/>
          <w:kern w:val="0"/>
          <w:sz w:val="32"/>
          <w:szCs w:val="32"/>
        </w:rPr>
        <w:t xml:space="preserve">  主管部门根据有关规定建立相应管理制度，加强对市级工程研究中心相关工作的监督管理，配合有关部门做好统计、监测分析和评价等工作。</w:t>
      </w:r>
    </w:p>
    <w:p w14:paraId="386F1BC0">
      <w:pPr>
        <w:tabs>
          <w:tab w:val="left" w:pos="1995"/>
          <w:tab w:val="left" w:pos="2149"/>
          <w:tab w:val="left" w:pos="2235"/>
        </w:tabs>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 xml:space="preserve">第十五条 </w:t>
      </w:r>
      <w:r>
        <w:rPr>
          <w:rFonts w:ascii="黑体" w:hAnsi="黑体" w:eastAsia="黑体" w:cs="仿宋_GB2312"/>
          <w:sz w:val="32"/>
          <w:szCs w:val="32"/>
        </w:rPr>
        <w:t xml:space="preserve"> </w:t>
      </w:r>
      <w:r>
        <w:rPr>
          <w:rFonts w:hint="eastAsia" w:eastAsia="仿宋_GB2312"/>
          <w:bCs/>
          <w:spacing w:val="4"/>
          <w:kern w:val="0"/>
          <w:sz w:val="32"/>
          <w:szCs w:val="32"/>
        </w:rPr>
        <w:t>市级</w:t>
      </w:r>
      <w:r>
        <w:rPr>
          <w:rFonts w:eastAsia="仿宋_GB2312"/>
          <w:sz w:val="32"/>
          <w:szCs w:val="32"/>
        </w:rPr>
        <w:t>工程</w:t>
      </w:r>
      <w:r>
        <w:rPr>
          <w:rFonts w:hint="eastAsia" w:eastAsia="仿宋_GB2312"/>
          <w:bCs/>
          <w:spacing w:val="4"/>
          <w:kern w:val="0"/>
          <w:sz w:val="32"/>
          <w:szCs w:val="32"/>
        </w:rPr>
        <w:t>研究中心建设任务和目标如出现重大调整，应当及时向主管部门报告。</w:t>
      </w:r>
    </w:p>
    <w:p w14:paraId="10F55002">
      <w:pPr>
        <w:tabs>
          <w:tab w:val="left" w:pos="1995"/>
          <w:tab w:val="left" w:pos="2149"/>
          <w:tab w:val="left" w:pos="2235"/>
        </w:tabs>
        <w:spacing w:line="560" w:lineRule="exact"/>
        <w:ind w:firstLine="640" w:firstLineChars="200"/>
        <w:rPr>
          <w:rFonts w:eastAsia="仿宋_GB2312"/>
          <w:bCs/>
          <w:spacing w:val="4"/>
          <w:kern w:val="0"/>
          <w:sz w:val="32"/>
          <w:szCs w:val="32"/>
        </w:rPr>
      </w:pPr>
      <w:r>
        <w:rPr>
          <w:rFonts w:hint="eastAsia" w:ascii="黑体" w:hAnsi="黑体" w:eastAsia="黑体" w:cs="仿宋_GB2312"/>
          <w:sz w:val="32"/>
          <w:szCs w:val="32"/>
        </w:rPr>
        <w:t xml:space="preserve">第十六条 </w:t>
      </w:r>
      <w:r>
        <w:rPr>
          <w:rFonts w:ascii="黑体" w:hAnsi="黑体" w:eastAsia="黑体" w:cs="仿宋_GB2312"/>
          <w:sz w:val="32"/>
          <w:szCs w:val="32"/>
        </w:rPr>
        <w:t xml:space="preserve"> </w:t>
      </w:r>
      <w:r>
        <w:rPr>
          <w:rFonts w:hint="eastAsia" w:eastAsia="仿宋_GB2312"/>
          <w:bCs/>
          <w:spacing w:val="4"/>
          <w:kern w:val="0"/>
          <w:sz w:val="32"/>
          <w:szCs w:val="32"/>
        </w:rPr>
        <w:t>市级工程研究中心依托单位对提报材料和数据真实性负责，主管部门负有初步审核责任，确保相关材料和数据真实可靠。</w:t>
      </w:r>
    </w:p>
    <w:p w14:paraId="66A0F2F0">
      <w:pPr>
        <w:tabs>
          <w:tab w:val="left" w:pos="1995"/>
          <w:tab w:val="left" w:pos="2149"/>
          <w:tab w:val="left" w:pos="2235"/>
        </w:tabs>
        <w:spacing w:line="560" w:lineRule="exact"/>
        <w:ind w:firstLine="640" w:firstLineChars="200"/>
        <w:rPr>
          <w:rFonts w:eastAsia="仿宋_GB2312"/>
          <w:sz w:val="32"/>
          <w:szCs w:val="32"/>
        </w:rPr>
      </w:pPr>
      <w:r>
        <w:rPr>
          <w:rFonts w:hint="eastAsia" w:ascii="黑体" w:hAnsi="黑体" w:eastAsia="黑体" w:cs="仿宋_GB2312"/>
          <w:sz w:val="32"/>
          <w:szCs w:val="32"/>
        </w:rPr>
        <w:t xml:space="preserve">第十七条 </w:t>
      </w:r>
      <w:r>
        <w:rPr>
          <w:rFonts w:ascii="黑体" w:hAnsi="黑体" w:eastAsia="黑体" w:cs="仿宋_GB2312"/>
          <w:sz w:val="32"/>
          <w:szCs w:val="32"/>
        </w:rPr>
        <w:t xml:space="preserve"> </w:t>
      </w:r>
      <w:r>
        <w:rPr>
          <w:rFonts w:hint="eastAsia" w:eastAsia="仿宋_GB2312"/>
          <w:bCs/>
          <w:spacing w:val="4"/>
          <w:kern w:val="0"/>
          <w:sz w:val="32"/>
          <w:szCs w:val="32"/>
        </w:rPr>
        <w:t>有下列情况之一的，</w:t>
      </w:r>
      <w:r>
        <w:rPr>
          <w:rFonts w:eastAsia="仿宋_GB2312"/>
          <w:sz w:val="32"/>
          <w:szCs w:val="32"/>
        </w:rPr>
        <w:t>撤销</w:t>
      </w:r>
      <w:r>
        <w:rPr>
          <w:rFonts w:hint="eastAsia" w:eastAsia="仿宋_GB2312"/>
          <w:sz w:val="32"/>
          <w:szCs w:val="32"/>
        </w:rPr>
        <w:t>市级</w:t>
      </w:r>
      <w:r>
        <w:rPr>
          <w:rFonts w:eastAsia="仿宋_GB2312"/>
          <w:sz w:val="32"/>
          <w:szCs w:val="32"/>
        </w:rPr>
        <w:t>工程研究中心资格：</w:t>
      </w:r>
    </w:p>
    <w:p w14:paraId="68E381A9">
      <w:pPr>
        <w:spacing w:line="560" w:lineRule="exact"/>
        <w:ind w:firstLine="645"/>
        <w:rPr>
          <w:rFonts w:eastAsia="仿宋_GB2312"/>
          <w:sz w:val="32"/>
          <w:szCs w:val="32"/>
        </w:rPr>
      </w:pPr>
      <w:r>
        <w:rPr>
          <w:rFonts w:eastAsia="仿宋_GB2312"/>
          <w:sz w:val="32"/>
          <w:szCs w:val="32"/>
        </w:rPr>
        <w:t>（一）运行评价低于60分；</w:t>
      </w:r>
    </w:p>
    <w:p w14:paraId="7A2B9B06">
      <w:pPr>
        <w:spacing w:line="560" w:lineRule="exact"/>
        <w:ind w:firstLine="645"/>
        <w:rPr>
          <w:rFonts w:eastAsia="仿宋_GB2312"/>
          <w:sz w:val="32"/>
          <w:szCs w:val="32"/>
        </w:rPr>
      </w:pPr>
      <w:r>
        <w:rPr>
          <w:rFonts w:eastAsia="仿宋_GB2312"/>
          <w:sz w:val="32"/>
          <w:szCs w:val="32"/>
        </w:rPr>
        <w:t>（</w:t>
      </w:r>
      <w:r>
        <w:rPr>
          <w:rFonts w:hint="eastAsia" w:eastAsia="仿宋_GB2312"/>
          <w:sz w:val="32"/>
          <w:szCs w:val="32"/>
        </w:rPr>
        <w:t>二</w:t>
      </w:r>
      <w:r>
        <w:rPr>
          <w:rFonts w:eastAsia="仿宋_GB2312"/>
          <w:sz w:val="32"/>
          <w:szCs w:val="32"/>
        </w:rPr>
        <w:t>）提供虚假</w:t>
      </w:r>
      <w:r>
        <w:rPr>
          <w:rFonts w:hint="eastAsia" w:eastAsia="仿宋_GB2312"/>
          <w:sz w:val="32"/>
          <w:szCs w:val="32"/>
        </w:rPr>
        <w:t>材料和数据</w:t>
      </w:r>
      <w:r>
        <w:rPr>
          <w:rFonts w:eastAsia="仿宋_GB2312"/>
          <w:sz w:val="32"/>
          <w:szCs w:val="32"/>
        </w:rPr>
        <w:t>；</w:t>
      </w:r>
    </w:p>
    <w:p w14:paraId="01D4CC72">
      <w:pPr>
        <w:spacing w:line="560" w:lineRule="exact"/>
        <w:ind w:firstLine="645"/>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）发生重大质量事故或重大安全事故；</w:t>
      </w:r>
    </w:p>
    <w:p w14:paraId="2BC0993F">
      <w:pPr>
        <w:spacing w:line="560" w:lineRule="exact"/>
        <w:ind w:firstLine="645"/>
        <w:rPr>
          <w:rFonts w:eastAsia="仿宋_GB2312"/>
          <w:sz w:val="32"/>
          <w:szCs w:val="32"/>
        </w:rPr>
      </w:pPr>
      <w:r>
        <w:rPr>
          <w:rFonts w:eastAsia="仿宋_GB2312"/>
          <w:sz w:val="32"/>
          <w:szCs w:val="32"/>
        </w:rPr>
        <w:t>（</w:t>
      </w:r>
      <w:r>
        <w:rPr>
          <w:rFonts w:hint="eastAsia" w:eastAsia="仿宋_GB2312"/>
          <w:sz w:val="32"/>
          <w:szCs w:val="32"/>
        </w:rPr>
        <w:t>四</w:t>
      </w:r>
      <w:r>
        <w:rPr>
          <w:rFonts w:eastAsia="仿宋_GB2312"/>
          <w:sz w:val="32"/>
          <w:szCs w:val="32"/>
        </w:rPr>
        <w:t>）存在司法、行政机关认定的严重违法失信行为；</w:t>
      </w:r>
    </w:p>
    <w:p w14:paraId="36675533">
      <w:pPr>
        <w:spacing w:line="560" w:lineRule="exact"/>
        <w:ind w:firstLine="640" w:firstLineChars="200"/>
        <w:rPr>
          <w:rFonts w:eastAsia="仿宋_GB2312"/>
          <w:sz w:val="32"/>
          <w:szCs w:val="32"/>
        </w:rPr>
      </w:pPr>
      <w:r>
        <w:rPr>
          <w:rFonts w:hint="eastAsia" w:eastAsia="仿宋_GB2312"/>
          <w:sz w:val="32"/>
          <w:szCs w:val="32"/>
        </w:rPr>
        <w:t>（五）</w:t>
      </w:r>
      <w:r>
        <w:rPr>
          <w:rFonts w:eastAsia="仿宋_GB2312"/>
          <w:sz w:val="32"/>
          <w:szCs w:val="32"/>
        </w:rPr>
        <w:t>承担单位被依法终止。</w:t>
      </w:r>
    </w:p>
    <w:p w14:paraId="5C08B397">
      <w:pPr>
        <w:tabs>
          <w:tab w:val="left" w:pos="1995"/>
          <w:tab w:val="left" w:pos="2149"/>
          <w:tab w:val="left" w:pos="2235"/>
        </w:tabs>
        <w:spacing w:line="560" w:lineRule="exact"/>
        <w:ind w:firstLine="640" w:firstLineChars="200"/>
        <w:rPr>
          <w:rFonts w:eastAsia="仿宋_GB2312"/>
          <w:sz w:val="32"/>
          <w:szCs w:val="32"/>
        </w:rPr>
      </w:pPr>
      <w:r>
        <w:rPr>
          <w:rFonts w:hint="eastAsia" w:ascii="黑体" w:hAnsi="黑体" w:eastAsia="黑体" w:cs="仿宋_GB2312"/>
          <w:sz w:val="32"/>
          <w:szCs w:val="32"/>
        </w:rPr>
        <w:t>第十八条</w:t>
      </w:r>
      <w:r>
        <w:rPr>
          <w:rFonts w:hint="eastAsia" w:eastAsia="仿宋_GB2312"/>
          <w:bCs/>
          <w:spacing w:val="4"/>
          <w:kern w:val="0"/>
          <w:sz w:val="32"/>
          <w:szCs w:val="32"/>
        </w:rPr>
        <w:t xml:space="preserve"> </w:t>
      </w:r>
      <w:r>
        <w:rPr>
          <w:rFonts w:eastAsia="仿宋_GB2312"/>
          <w:bCs/>
          <w:spacing w:val="4"/>
          <w:kern w:val="0"/>
          <w:sz w:val="32"/>
          <w:szCs w:val="32"/>
        </w:rPr>
        <w:t xml:space="preserve"> </w:t>
      </w:r>
      <w:r>
        <w:rPr>
          <w:rFonts w:eastAsia="仿宋_GB2312"/>
          <w:sz w:val="32"/>
          <w:szCs w:val="32"/>
        </w:rPr>
        <w:t>因本办法第十</w:t>
      </w:r>
      <w:r>
        <w:rPr>
          <w:rFonts w:hint="eastAsia" w:eastAsia="仿宋_GB2312"/>
          <w:sz w:val="32"/>
          <w:szCs w:val="32"/>
        </w:rPr>
        <w:t>七</w:t>
      </w:r>
      <w:r>
        <w:rPr>
          <w:rFonts w:eastAsia="仿宋_GB2312"/>
          <w:sz w:val="32"/>
          <w:szCs w:val="32"/>
        </w:rPr>
        <w:t>条被撤销市级工程研究中心资格的，自撤销之日起</w:t>
      </w:r>
      <w:r>
        <w:rPr>
          <w:rFonts w:hint="eastAsia" w:eastAsia="仿宋_GB2312"/>
          <w:sz w:val="32"/>
          <w:szCs w:val="32"/>
        </w:rPr>
        <w:t>二</w:t>
      </w:r>
      <w:r>
        <w:rPr>
          <w:rFonts w:eastAsia="仿宋_GB2312"/>
          <w:sz w:val="32"/>
          <w:szCs w:val="32"/>
        </w:rPr>
        <w:t>年内不得再次申请。</w:t>
      </w:r>
    </w:p>
    <w:p w14:paraId="0E0387D3">
      <w:pPr>
        <w:spacing w:line="560" w:lineRule="exact"/>
      </w:pPr>
    </w:p>
    <w:p w14:paraId="0F50DEC9">
      <w:pPr>
        <w:spacing w:line="560" w:lineRule="exact"/>
        <w:jc w:val="center"/>
        <w:rPr>
          <w:rFonts w:eastAsia="黑体"/>
          <w:bCs/>
          <w:spacing w:val="4"/>
          <w:kern w:val="0"/>
          <w:sz w:val="32"/>
          <w:szCs w:val="32"/>
        </w:rPr>
      </w:pPr>
      <w:r>
        <w:rPr>
          <w:rFonts w:eastAsia="黑体"/>
          <w:bCs/>
          <w:spacing w:val="4"/>
          <w:kern w:val="0"/>
          <w:sz w:val="32"/>
          <w:szCs w:val="32"/>
        </w:rPr>
        <w:t>第五章</w:t>
      </w:r>
      <w:r>
        <w:rPr>
          <w:rFonts w:eastAsia="黑体"/>
          <w:sz w:val="32"/>
          <w:szCs w:val="32"/>
        </w:rPr>
        <w:t xml:space="preserve"> </w:t>
      </w:r>
      <w:r>
        <w:rPr>
          <w:rFonts w:eastAsia="黑体"/>
          <w:sz w:val="32"/>
          <w:szCs w:val="32"/>
          <w:lang w:val="en"/>
        </w:rPr>
        <w:t xml:space="preserve"> </w:t>
      </w:r>
      <w:r>
        <w:rPr>
          <w:rFonts w:eastAsia="黑体"/>
          <w:bCs/>
          <w:spacing w:val="4"/>
          <w:kern w:val="0"/>
          <w:sz w:val="32"/>
          <w:szCs w:val="32"/>
        </w:rPr>
        <w:t>鼓励政策</w:t>
      </w:r>
    </w:p>
    <w:p w14:paraId="5C62FD16">
      <w:pPr>
        <w:spacing w:line="560" w:lineRule="exact"/>
        <w:jc w:val="center"/>
        <w:rPr>
          <w:rFonts w:eastAsia="黑体"/>
          <w:bCs/>
          <w:spacing w:val="4"/>
          <w:kern w:val="0"/>
          <w:sz w:val="32"/>
          <w:szCs w:val="32"/>
        </w:rPr>
      </w:pPr>
    </w:p>
    <w:p w14:paraId="308AE810">
      <w:pPr>
        <w:tabs>
          <w:tab w:val="left" w:pos="1995"/>
          <w:tab w:val="left" w:pos="2149"/>
          <w:tab w:val="left" w:pos="2235"/>
        </w:tabs>
        <w:spacing w:line="560" w:lineRule="exact"/>
        <w:ind w:firstLine="640" w:firstLineChars="200"/>
        <w:rPr>
          <w:rFonts w:eastAsia="仿宋"/>
          <w:bCs/>
          <w:spacing w:val="4"/>
          <w:kern w:val="0"/>
          <w:sz w:val="32"/>
          <w:szCs w:val="32"/>
        </w:rPr>
      </w:pPr>
      <w:r>
        <w:rPr>
          <w:rFonts w:hint="eastAsia" w:ascii="黑体" w:hAnsi="黑体" w:eastAsia="黑体" w:cs="仿宋_GB2312"/>
          <w:sz w:val="32"/>
          <w:szCs w:val="32"/>
        </w:rPr>
        <w:t>第十九条</w:t>
      </w:r>
      <w:r>
        <w:rPr>
          <w:rFonts w:hint="eastAsia" w:eastAsia="仿宋_GB2312"/>
          <w:bCs/>
          <w:spacing w:val="4"/>
          <w:kern w:val="0"/>
          <w:sz w:val="32"/>
          <w:szCs w:val="32"/>
        </w:rPr>
        <w:t xml:space="preserve"> </w:t>
      </w:r>
      <w:r>
        <w:rPr>
          <w:rFonts w:eastAsia="仿宋_GB2312"/>
          <w:bCs/>
          <w:spacing w:val="4"/>
          <w:kern w:val="0"/>
          <w:sz w:val="32"/>
          <w:szCs w:val="32"/>
        </w:rPr>
        <w:t xml:space="preserve"> </w:t>
      </w:r>
      <w:r>
        <w:rPr>
          <w:rFonts w:hint="eastAsia" w:eastAsia="仿宋_GB2312"/>
          <w:sz w:val="32"/>
          <w:szCs w:val="32"/>
        </w:rPr>
        <w:t>鼓励加强创新能力建设，加大技术创新投入和新产品产出，依托市级工程研究中心完善产业创新体系，集聚优势资源开展中试制造、成果转化和产业化落地，对于能够保持较高创新投入增速、注重创新能力建设投资、具备较强标准和知识产权创制能力的市级工程研究中心，优先推荐申请山东省工程研究中心。</w:t>
      </w:r>
    </w:p>
    <w:p w14:paraId="38E0A8FB">
      <w:pPr>
        <w:tabs>
          <w:tab w:val="left" w:pos="1995"/>
          <w:tab w:val="left" w:pos="2149"/>
          <w:tab w:val="left" w:pos="2235"/>
        </w:tabs>
        <w:spacing w:line="560" w:lineRule="exact"/>
        <w:ind w:firstLine="640" w:firstLineChars="200"/>
        <w:rPr>
          <w:rFonts w:eastAsia="仿宋"/>
          <w:bCs/>
          <w:spacing w:val="4"/>
          <w:kern w:val="0"/>
          <w:sz w:val="32"/>
          <w:szCs w:val="32"/>
        </w:rPr>
      </w:pPr>
      <w:r>
        <w:rPr>
          <w:rFonts w:hint="eastAsia" w:ascii="黑体" w:hAnsi="黑体" w:eastAsia="黑体" w:cs="仿宋_GB2312"/>
          <w:sz w:val="32"/>
          <w:szCs w:val="32"/>
        </w:rPr>
        <w:t>第二十条</w:t>
      </w:r>
      <w:r>
        <w:rPr>
          <w:rFonts w:hint="eastAsia" w:eastAsia="仿宋_GB2312"/>
          <w:bCs/>
          <w:spacing w:val="4"/>
          <w:kern w:val="0"/>
          <w:sz w:val="32"/>
          <w:szCs w:val="32"/>
        </w:rPr>
        <w:t xml:space="preserve"> </w:t>
      </w:r>
      <w:r>
        <w:rPr>
          <w:rFonts w:eastAsia="仿宋_GB2312"/>
          <w:bCs/>
          <w:spacing w:val="4"/>
          <w:kern w:val="0"/>
          <w:sz w:val="32"/>
          <w:szCs w:val="32"/>
        </w:rPr>
        <w:t xml:space="preserve"> 发挥</w:t>
      </w:r>
      <w:r>
        <w:rPr>
          <w:rFonts w:hint="eastAsia" w:eastAsia="仿宋_GB2312"/>
          <w:sz w:val="32"/>
          <w:szCs w:val="32"/>
        </w:rPr>
        <w:t>科创母基金、产业园区产业基金、政府引导基金等</w:t>
      </w:r>
      <w:r>
        <w:rPr>
          <w:rFonts w:eastAsia="仿宋_GB2312"/>
          <w:bCs/>
          <w:spacing w:val="4"/>
          <w:kern w:val="0"/>
          <w:sz w:val="32"/>
          <w:szCs w:val="32"/>
        </w:rPr>
        <w:t>的引导作用，支持市级工程研究中心研发成果加快转化落地，具备条件的优先纳入市级重点项目。支持和优先推荐其申报国家和省、市组织实施的各类技术创新重大专项和试点示范项目。</w:t>
      </w:r>
    </w:p>
    <w:p w14:paraId="479438BB">
      <w:pPr>
        <w:tabs>
          <w:tab w:val="left" w:pos="1995"/>
          <w:tab w:val="left" w:pos="2149"/>
          <w:tab w:val="left" w:pos="2235"/>
        </w:tabs>
        <w:spacing w:line="560" w:lineRule="exact"/>
        <w:ind w:firstLine="640" w:firstLineChars="200"/>
        <w:rPr>
          <w:rFonts w:eastAsia="黑体"/>
          <w:bCs/>
          <w:spacing w:val="4"/>
          <w:kern w:val="0"/>
          <w:sz w:val="32"/>
          <w:szCs w:val="32"/>
        </w:rPr>
      </w:pPr>
      <w:r>
        <w:rPr>
          <w:rFonts w:hint="eastAsia" w:ascii="黑体" w:hAnsi="黑体" w:eastAsia="黑体" w:cs="仿宋_GB2312"/>
          <w:sz w:val="32"/>
          <w:szCs w:val="32"/>
        </w:rPr>
        <w:t>第二十一条</w:t>
      </w:r>
      <w:r>
        <w:rPr>
          <w:rFonts w:hint="eastAsia" w:eastAsia="仿宋_GB2312"/>
          <w:sz w:val="32"/>
          <w:szCs w:val="32"/>
        </w:rPr>
        <w:t xml:space="preserve"> </w:t>
      </w:r>
      <w:r>
        <w:rPr>
          <w:rFonts w:eastAsia="仿宋_GB2312"/>
          <w:sz w:val="32"/>
          <w:szCs w:val="32"/>
        </w:rPr>
        <w:t xml:space="preserve"> 鼓励各区（市）、</w:t>
      </w:r>
      <w:r>
        <w:rPr>
          <w:rFonts w:hint="eastAsia" w:eastAsia="仿宋_GB2312"/>
          <w:sz w:val="32"/>
          <w:szCs w:val="32"/>
        </w:rPr>
        <w:t>有关</w:t>
      </w:r>
      <w:r>
        <w:rPr>
          <w:rFonts w:eastAsia="仿宋_GB2312"/>
          <w:sz w:val="32"/>
          <w:szCs w:val="32"/>
        </w:rPr>
        <w:t>功能区对新获批及评价优秀的</w:t>
      </w:r>
      <w:r>
        <w:rPr>
          <w:rFonts w:hint="eastAsia" w:eastAsia="仿宋_GB2312"/>
          <w:sz w:val="32"/>
          <w:szCs w:val="32"/>
        </w:rPr>
        <w:t>市级</w:t>
      </w:r>
      <w:r>
        <w:rPr>
          <w:rFonts w:eastAsia="仿宋_GB2312"/>
          <w:sz w:val="32"/>
          <w:szCs w:val="32"/>
        </w:rPr>
        <w:t>工程研究中心，在科技项目、人才引进等方面给予相应的政策扶持。</w:t>
      </w:r>
    </w:p>
    <w:p w14:paraId="74E5BC7A">
      <w:pPr>
        <w:spacing w:line="560" w:lineRule="exact"/>
        <w:ind w:firstLine="645"/>
        <w:rPr>
          <w:rFonts w:eastAsia="仿宋_GB2312"/>
          <w:sz w:val="32"/>
          <w:szCs w:val="32"/>
        </w:rPr>
      </w:pPr>
    </w:p>
    <w:p w14:paraId="14AA0D19">
      <w:pPr>
        <w:spacing w:line="560" w:lineRule="exact"/>
        <w:jc w:val="center"/>
        <w:rPr>
          <w:rFonts w:eastAsia="黑体"/>
          <w:sz w:val="32"/>
          <w:szCs w:val="32"/>
        </w:rPr>
      </w:pPr>
      <w:r>
        <w:rPr>
          <w:rFonts w:eastAsia="黑体"/>
          <w:sz w:val="32"/>
          <w:szCs w:val="32"/>
        </w:rPr>
        <w:t xml:space="preserve">第六章 </w:t>
      </w:r>
      <w:r>
        <w:rPr>
          <w:rFonts w:eastAsia="黑体"/>
          <w:sz w:val="32"/>
          <w:szCs w:val="32"/>
          <w:lang w:val="en"/>
        </w:rPr>
        <w:t xml:space="preserve"> </w:t>
      </w:r>
      <w:r>
        <w:rPr>
          <w:rFonts w:eastAsia="黑体"/>
          <w:sz w:val="32"/>
          <w:szCs w:val="32"/>
        </w:rPr>
        <w:t>附  则</w:t>
      </w:r>
    </w:p>
    <w:p w14:paraId="160B6B88">
      <w:pPr>
        <w:spacing w:line="560" w:lineRule="exact"/>
        <w:jc w:val="center"/>
        <w:rPr>
          <w:rFonts w:eastAsia="黑体"/>
          <w:sz w:val="32"/>
          <w:szCs w:val="32"/>
        </w:rPr>
      </w:pPr>
    </w:p>
    <w:p w14:paraId="63680F9A">
      <w:pPr>
        <w:tabs>
          <w:tab w:val="left" w:pos="1995"/>
          <w:tab w:val="left" w:pos="2149"/>
          <w:tab w:val="left" w:pos="2235"/>
        </w:tabs>
        <w:spacing w:line="560" w:lineRule="exact"/>
        <w:ind w:firstLine="640" w:firstLineChars="200"/>
        <w:rPr>
          <w:rFonts w:eastAsia="黑体"/>
          <w:bCs/>
          <w:sz w:val="32"/>
          <w:szCs w:val="32"/>
        </w:rPr>
      </w:pPr>
      <w:r>
        <w:rPr>
          <w:rFonts w:hint="eastAsia" w:ascii="黑体" w:hAnsi="黑体" w:eastAsia="黑体" w:cs="仿宋_GB2312"/>
          <w:sz w:val="32"/>
          <w:szCs w:val="32"/>
        </w:rPr>
        <w:t>第二十二条</w:t>
      </w:r>
      <w:r>
        <w:rPr>
          <w:rFonts w:hint="eastAsia" w:eastAsia="仿宋_GB2312"/>
          <w:bCs/>
          <w:spacing w:val="4"/>
          <w:kern w:val="0"/>
          <w:sz w:val="32"/>
          <w:szCs w:val="32"/>
        </w:rPr>
        <w:t xml:space="preserve"> </w:t>
      </w:r>
      <w:r>
        <w:rPr>
          <w:rFonts w:eastAsia="仿宋_GB2312"/>
          <w:bCs/>
          <w:spacing w:val="4"/>
          <w:kern w:val="0"/>
          <w:sz w:val="32"/>
          <w:szCs w:val="32"/>
        </w:rPr>
        <w:t xml:space="preserve"> </w:t>
      </w:r>
      <w:r>
        <w:rPr>
          <w:rFonts w:eastAsia="仿宋_GB2312"/>
          <w:sz w:val="32"/>
          <w:szCs w:val="32"/>
        </w:rPr>
        <w:t>青岛市工程研究中心统一命名为：“青岛市×××工程研究中心”。</w:t>
      </w:r>
    </w:p>
    <w:p w14:paraId="7E42996D">
      <w:pPr>
        <w:tabs>
          <w:tab w:val="left" w:pos="1995"/>
          <w:tab w:val="left" w:pos="2149"/>
          <w:tab w:val="left" w:pos="2235"/>
        </w:tabs>
        <w:spacing w:line="560" w:lineRule="exact"/>
        <w:ind w:firstLine="640" w:firstLineChars="200"/>
        <w:rPr>
          <w:rFonts w:eastAsia="仿宋_GB2312"/>
          <w:sz w:val="32"/>
          <w:szCs w:val="32"/>
        </w:rPr>
      </w:pPr>
      <w:r>
        <w:rPr>
          <w:rFonts w:hint="eastAsia" w:ascii="黑体" w:hAnsi="黑体" w:eastAsia="黑体" w:cs="仿宋_GB2312"/>
          <w:sz w:val="32"/>
          <w:szCs w:val="32"/>
        </w:rPr>
        <w:t>第二十三条</w:t>
      </w:r>
      <w:r>
        <w:rPr>
          <w:rFonts w:hint="eastAsia" w:eastAsia="仿宋_GB2312"/>
          <w:bCs/>
          <w:spacing w:val="4"/>
          <w:kern w:val="0"/>
          <w:sz w:val="32"/>
          <w:szCs w:val="32"/>
        </w:rPr>
        <w:t xml:space="preserve"> </w:t>
      </w:r>
      <w:r>
        <w:rPr>
          <w:rFonts w:eastAsia="仿宋_GB2312"/>
          <w:bCs/>
          <w:spacing w:val="4"/>
          <w:kern w:val="0"/>
          <w:sz w:val="32"/>
          <w:szCs w:val="32"/>
        </w:rPr>
        <w:t xml:space="preserve"> </w:t>
      </w:r>
      <w:r>
        <w:rPr>
          <w:rFonts w:eastAsia="仿宋_GB2312"/>
          <w:sz w:val="32"/>
          <w:szCs w:val="32"/>
        </w:rPr>
        <w:t>本办法涉及的申请材料、评价材料和评价指标体系的内容和要求，由市发展改革委另行发布并适时调整。</w:t>
      </w:r>
    </w:p>
    <w:p w14:paraId="077BBE72">
      <w:pPr>
        <w:tabs>
          <w:tab w:val="left" w:pos="1995"/>
          <w:tab w:val="left" w:pos="2149"/>
          <w:tab w:val="left" w:pos="2235"/>
        </w:tabs>
        <w:spacing w:line="560" w:lineRule="exact"/>
        <w:ind w:firstLine="640" w:firstLineChars="200"/>
        <w:rPr>
          <w:rFonts w:eastAsia="仿宋_GB2312"/>
          <w:sz w:val="32"/>
          <w:szCs w:val="32"/>
        </w:rPr>
      </w:pPr>
      <w:r>
        <w:rPr>
          <w:rFonts w:hint="eastAsia" w:ascii="黑体" w:hAnsi="黑体" w:eastAsia="黑体" w:cs="仿宋_GB2312"/>
          <w:sz w:val="32"/>
          <w:szCs w:val="32"/>
        </w:rPr>
        <w:t>第二十四条</w:t>
      </w:r>
      <w:r>
        <w:rPr>
          <w:rFonts w:hint="eastAsia" w:eastAsia="仿宋_GB2312"/>
          <w:bCs/>
          <w:spacing w:val="4"/>
          <w:kern w:val="0"/>
          <w:sz w:val="32"/>
          <w:szCs w:val="32"/>
        </w:rPr>
        <w:t xml:space="preserve"> </w:t>
      </w:r>
      <w:r>
        <w:rPr>
          <w:rFonts w:eastAsia="仿宋_GB2312"/>
          <w:bCs/>
          <w:spacing w:val="4"/>
          <w:kern w:val="0"/>
          <w:sz w:val="32"/>
          <w:szCs w:val="32"/>
        </w:rPr>
        <w:t xml:space="preserve"> </w:t>
      </w:r>
      <w:r>
        <w:rPr>
          <w:rFonts w:eastAsia="仿宋_GB2312"/>
          <w:sz w:val="32"/>
          <w:szCs w:val="32"/>
        </w:rPr>
        <w:t>各区（市）、</w:t>
      </w:r>
      <w:r>
        <w:rPr>
          <w:rFonts w:hint="eastAsia" w:eastAsia="仿宋_GB2312"/>
          <w:sz w:val="32"/>
          <w:szCs w:val="32"/>
        </w:rPr>
        <w:t>有关</w:t>
      </w:r>
      <w:r>
        <w:rPr>
          <w:rFonts w:eastAsia="仿宋_GB2312"/>
          <w:sz w:val="32"/>
          <w:szCs w:val="32"/>
        </w:rPr>
        <w:t>功能区主管部门可参照本办法，结合实际情况，制定相应的政策措施或管理办法。</w:t>
      </w:r>
    </w:p>
    <w:p w14:paraId="7B40A016">
      <w:pPr>
        <w:spacing w:line="580" w:lineRule="exact"/>
        <w:ind w:firstLine="640" w:firstLineChars="200"/>
        <w:rPr>
          <w:rFonts w:eastAsia="仿宋_GB2312"/>
          <w:sz w:val="32"/>
          <w:szCs w:val="32"/>
        </w:rPr>
      </w:pPr>
      <w:r>
        <w:rPr>
          <w:rFonts w:hint="eastAsia" w:ascii="黑体" w:hAnsi="黑体" w:eastAsia="黑体" w:cs="仿宋_GB2312"/>
          <w:sz w:val="32"/>
          <w:szCs w:val="32"/>
        </w:rPr>
        <w:t xml:space="preserve">第二十五条 </w:t>
      </w:r>
      <w:r>
        <w:rPr>
          <w:rFonts w:ascii="黑体" w:hAnsi="黑体" w:eastAsia="黑体" w:cs="仿宋_GB2312"/>
          <w:sz w:val="32"/>
          <w:szCs w:val="32"/>
        </w:rPr>
        <w:t xml:space="preserve"> </w:t>
      </w:r>
      <w:r>
        <w:rPr>
          <w:rFonts w:eastAsia="仿宋_GB2312"/>
          <w:sz w:val="32"/>
          <w:szCs w:val="32"/>
        </w:rPr>
        <w:t>本办法</w:t>
      </w:r>
      <w:r>
        <w:rPr>
          <w:rFonts w:hint="eastAsia" w:eastAsia="仿宋_GB2312"/>
          <w:sz w:val="32"/>
          <w:szCs w:val="32"/>
        </w:rPr>
        <w:t>自2024年12月21日起施行，有效期至2029年12月20日。</w:t>
      </w:r>
    </w:p>
    <w:p w14:paraId="2E398E77">
      <w:pPr>
        <w:spacing w:line="560" w:lineRule="exact"/>
        <w:rPr>
          <w:rFonts w:eastAsia="黑体"/>
          <w:sz w:val="32"/>
          <w:szCs w:val="32"/>
        </w:rPr>
      </w:pPr>
      <w:r>
        <w:rPr>
          <w:rFonts w:eastAsia="黑体"/>
          <w:sz w:val="32"/>
          <w:szCs w:val="32"/>
        </w:rPr>
        <w:br w:type="page"/>
      </w:r>
      <w:r>
        <w:rPr>
          <w:rFonts w:eastAsia="黑体"/>
          <w:sz w:val="32"/>
          <w:szCs w:val="32"/>
        </w:rPr>
        <w:t>附件2</w:t>
      </w:r>
    </w:p>
    <w:p w14:paraId="019D9151">
      <w:pPr>
        <w:spacing w:line="560" w:lineRule="exact"/>
        <w:rPr>
          <w:rFonts w:eastAsia="仿宋_GB2312"/>
          <w:sz w:val="32"/>
          <w:szCs w:val="32"/>
        </w:rPr>
      </w:pPr>
    </w:p>
    <w:p w14:paraId="22641482">
      <w:pPr>
        <w:spacing w:line="560" w:lineRule="exact"/>
        <w:jc w:val="center"/>
        <w:rPr>
          <w:rFonts w:eastAsia="方正小标宋_GBK"/>
          <w:sz w:val="44"/>
          <w:szCs w:val="32"/>
        </w:rPr>
      </w:pPr>
      <w:r>
        <w:rPr>
          <w:rFonts w:eastAsia="方正小标宋_GBK"/>
          <w:kern w:val="0"/>
          <w:sz w:val="44"/>
          <w:szCs w:val="32"/>
        </w:rPr>
        <w:t>202</w:t>
      </w:r>
      <w:r>
        <w:rPr>
          <w:rFonts w:hint="eastAsia" w:eastAsia="方正小标宋_GBK"/>
          <w:kern w:val="0"/>
          <w:sz w:val="44"/>
          <w:szCs w:val="32"/>
        </w:rPr>
        <w:t>3</w:t>
      </w:r>
      <w:r>
        <w:rPr>
          <w:rFonts w:eastAsia="方正小标宋_GBK"/>
          <w:kern w:val="0"/>
          <w:sz w:val="44"/>
          <w:szCs w:val="32"/>
        </w:rPr>
        <w:t>年青岛市工程研究中心运行评价情况</w:t>
      </w:r>
    </w:p>
    <w:p w14:paraId="4844F6A9">
      <w:pPr>
        <w:spacing w:line="560" w:lineRule="exact"/>
        <w:rPr>
          <w:rFonts w:eastAsia="仿宋_GB2312"/>
          <w:sz w:val="32"/>
          <w:szCs w:val="32"/>
        </w:rPr>
      </w:pPr>
    </w:p>
    <w:p w14:paraId="32255153">
      <w:pPr>
        <w:spacing w:line="560" w:lineRule="exact"/>
        <w:ind w:firstLine="640" w:firstLineChars="200"/>
        <w:rPr>
          <w:rFonts w:eastAsia="仿宋_GB2312"/>
          <w:kern w:val="0"/>
          <w:sz w:val="32"/>
          <w:szCs w:val="32"/>
        </w:rPr>
      </w:pPr>
      <w:r>
        <w:rPr>
          <w:rFonts w:eastAsia="仿宋_GB2312"/>
          <w:sz w:val="32"/>
          <w:szCs w:val="32"/>
        </w:rPr>
        <w:t>根据</w:t>
      </w:r>
      <w:r>
        <w:rPr>
          <w:rFonts w:eastAsia="仿宋_GB2312"/>
          <w:kern w:val="0"/>
          <w:sz w:val="32"/>
          <w:szCs w:val="32"/>
        </w:rPr>
        <w:t>202</w:t>
      </w:r>
      <w:r>
        <w:rPr>
          <w:rFonts w:hint="eastAsia" w:eastAsia="仿宋_GB2312"/>
          <w:kern w:val="0"/>
          <w:sz w:val="32"/>
          <w:szCs w:val="32"/>
        </w:rPr>
        <w:t>3</w:t>
      </w:r>
      <w:r>
        <w:rPr>
          <w:rFonts w:eastAsia="仿宋_GB2312"/>
          <w:kern w:val="0"/>
          <w:sz w:val="32"/>
          <w:szCs w:val="32"/>
        </w:rPr>
        <w:t>年青岛市工程研究中心运行评价结果，得分分档情况如下：</w:t>
      </w:r>
    </w:p>
    <w:p w14:paraId="6CB2EB93">
      <w:pPr>
        <w:spacing w:line="560" w:lineRule="exact"/>
        <w:ind w:firstLine="640" w:firstLineChars="200"/>
        <w:rPr>
          <w:rFonts w:eastAsia="黑体"/>
          <w:kern w:val="0"/>
          <w:sz w:val="32"/>
          <w:szCs w:val="32"/>
        </w:rPr>
      </w:pPr>
      <w:r>
        <w:rPr>
          <w:rFonts w:eastAsia="黑体"/>
          <w:kern w:val="0"/>
          <w:sz w:val="32"/>
          <w:szCs w:val="32"/>
        </w:rPr>
        <w:t>一、总体评价为</w:t>
      </w:r>
      <w:r>
        <w:rPr>
          <w:rFonts w:hint="eastAsia" w:eastAsia="黑体"/>
          <w:kern w:val="0"/>
          <w:sz w:val="32"/>
          <w:szCs w:val="32"/>
        </w:rPr>
        <w:t>第一档</w:t>
      </w:r>
      <w:r>
        <w:rPr>
          <w:rFonts w:eastAsia="黑体"/>
          <w:kern w:val="0"/>
          <w:sz w:val="32"/>
          <w:szCs w:val="32"/>
        </w:rPr>
        <w:t>等次的区、市、功能区（平均得分</w:t>
      </w:r>
      <w:r>
        <w:rPr>
          <w:rFonts w:hint="eastAsia" w:eastAsia="黑体"/>
          <w:kern w:val="0"/>
          <w:sz w:val="32"/>
          <w:szCs w:val="32"/>
        </w:rPr>
        <w:t>≥75</w:t>
      </w:r>
      <w:r>
        <w:rPr>
          <w:rFonts w:eastAsia="黑体"/>
          <w:kern w:val="0"/>
          <w:sz w:val="32"/>
          <w:szCs w:val="32"/>
        </w:rPr>
        <w:t>）</w:t>
      </w:r>
    </w:p>
    <w:p w14:paraId="784543A0">
      <w:pPr>
        <w:spacing w:line="560" w:lineRule="exact"/>
        <w:ind w:firstLine="640" w:firstLineChars="200"/>
        <w:rPr>
          <w:rFonts w:eastAsia="仿宋_GB2312"/>
          <w:kern w:val="0"/>
          <w:sz w:val="32"/>
          <w:szCs w:val="32"/>
        </w:rPr>
      </w:pPr>
      <w:r>
        <w:rPr>
          <w:rFonts w:eastAsia="仿宋_GB2312"/>
          <w:kern w:val="0"/>
          <w:sz w:val="32"/>
          <w:szCs w:val="32"/>
        </w:rPr>
        <w:t>自贸片区</w:t>
      </w:r>
      <w:r>
        <w:rPr>
          <w:rFonts w:hint="eastAsia" w:eastAsia="仿宋_GB2312"/>
          <w:kern w:val="0"/>
          <w:sz w:val="32"/>
          <w:szCs w:val="32"/>
        </w:rPr>
        <w:t>、</w:t>
      </w:r>
      <w:r>
        <w:rPr>
          <w:rFonts w:eastAsia="仿宋_GB2312"/>
          <w:kern w:val="0"/>
          <w:sz w:val="32"/>
          <w:szCs w:val="32"/>
        </w:rPr>
        <w:t>平度市、莱西市、市南区、崂山区、上合示范区、西海岸新区</w:t>
      </w:r>
    </w:p>
    <w:p w14:paraId="48EFD5B3">
      <w:pPr>
        <w:spacing w:line="560" w:lineRule="exact"/>
        <w:ind w:firstLine="640" w:firstLineChars="200"/>
        <w:rPr>
          <w:rFonts w:eastAsia="黑体"/>
          <w:kern w:val="0"/>
          <w:sz w:val="32"/>
          <w:szCs w:val="32"/>
        </w:rPr>
      </w:pPr>
      <w:r>
        <w:rPr>
          <w:rFonts w:eastAsia="黑体"/>
          <w:sz w:val="32"/>
          <w:szCs w:val="32"/>
        </w:rPr>
        <w:t>二、总体评价为</w:t>
      </w:r>
      <w:r>
        <w:rPr>
          <w:rFonts w:hint="eastAsia" w:eastAsia="黑体"/>
          <w:sz w:val="32"/>
          <w:szCs w:val="32"/>
        </w:rPr>
        <w:t>第二档</w:t>
      </w:r>
      <w:r>
        <w:rPr>
          <w:rFonts w:eastAsia="黑体"/>
          <w:sz w:val="32"/>
          <w:szCs w:val="32"/>
        </w:rPr>
        <w:t>等次的</w:t>
      </w:r>
      <w:r>
        <w:rPr>
          <w:rFonts w:eastAsia="黑体"/>
          <w:kern w:val="0"/>
          <w:sz w:val="32"/>
          <w:szCs w:val="32"/>
        </w:rPr>
        <w:t>区、市、功能区（60≤平均得分＜75）</w:t>
      </w:r>
    </w:p>
    <w:p w14:paraId="3410D760">
      <w:pPr>
        <w:spacing w:line="560" w:lineRule="exact"/>
        <w:ind w:firstLine="640" w:firstLineChars="200"/>
        <w:rPr>
          <w:rFonts w:eastAsia="仿宋_GB2312"/>
          <w:kern w:val="0"/>
          <w:sz w:val="32"/>
          <w:szCs w:val="32"/>
        </w:rPr>
      </w:pPr>
      <w:r>
        <w:rPr>
          <w:rFonts w:eastAsia="仿宋_GB2312"/>
          <w:kern w:val="0"/>
          <w:sz w:val="32"/>
          <w:szCs w:val="32"/>
        </w:rPr>
        <w:t>胶州市、城阳区、高新区</w:t>
      </w:r>
      <w:r>
        <w:rPr>
          <w:rFonts w:hint="eastAsia" w:eastAsia="仿宋_GB2312"/>
          <w:kern w:val="0"/>
          <w:sz w:val="32"/>
          <w:szCs w:val="32"/>
        </w:rPr>
        <w:t>、</w:t>
      </w:r>
      <w:r>
        <w:rPr>
          <w:rFonts w:eastAsia="仿宋_GB2312"/>
          <w:kern w:val="0"/>
          <w:sz w:val="32"/>
          <w:szCs w:val="32"/>
        </w:rPr>
        <w:t>即墨区、市北区</w:t>
      </w:r>
      <w:r>
        <w:rPr>
          <w:rFonts w:hint="eastAsia" w:eastAsia="仿宋_GB2312"/>
          <w:kern w:val="0"/>
          <w:sz w:val="32"/>
          <w:szCs w:val="32"/>
        </w:rPr>
        <w:t>、</w:t>
      </w:r>
      <w:r>
        <w:rPr>
          <w:rFonts w:eastAsia="仿宋_GB2312"/>
          <w:kern w:val="0"/>
          <w:sz w:val="32"/>
          <w:szCs w:val="32"/>
        </w:rPr>
        <w:t>李沧区、青岛蓝谷</w:t>
      </w:r>
    </w:p>
    <w:p w14:paraId="0E5FED52">
      <w:pPr>
        <w:spacing w:line="560" w:lineRule="exact"/>
        <w:rPr>
          <w:rFonts w:eastAsia="黑体"/>
          <w:sz w:val="32"/>
          <w:szCs w:val="32"/>
        </w:rPr>
      </w:pPr>
      <w:r>
        <w:rPr>
          <w:rFonts w:eastAsia="仿宋_GB2312"/>
          <w:sz w:val="32"/>
          <w:szCs w:val="32"/>
        </w:rPr>
        <w:br w:type="page"/>
      </w:r>
      <w:r>
        <w:rPr>
          <w:rFonts w:eastAsia="黑体"/>
          <w:sz w:val="32"/>
          <w:szCs w:val="32"/>
        </w:rPr>
        <w:t>附件3</w:t>
      </w:r>
    </w:p>
    <w:p w14:paraId="4522BDC0">
      <w:pPr>
        <w:spacing w:line="560" w:lineRule="exact"/>
        <w:rPr>
          <w:rFonts w:eastAsia="黑体"/>
          <w:sz w:val="32"/>
          <w:szCs w:val="32"/>
        </w:rPr>
      </w:pPr>
    </w:p>
    <w:p w14:paraId="12009918">
      <w:pPr>
        <w:autoSpaceDE w:val="0"/>
        <w:autoSpaceDN w:val="0"/>
        <w:adjustRightInd w:val="0"/>
        <w:spacing w:line="560" w:lineRule="exact"/>
        <w:jc w:val="center"/>
        <w:rPr>
          <w:rFonts w:eastAsia="方正小标宋_GBK"/>
          <w:bCs/>
          <w:kern w:val="0"/>
          <w:sz w:val="44"/>
          <w:szCs w:val="44"/>
        </w:rPr>
      </w:pPr>
      <w:r>
        <w:rPr>
          <w:rFonts w:eastAsia="方正小标宋_GBK"/>
          <w:bCs/>
          <w:kern w:val="0"/>
          <w:sz w:val="44"/>
          <w:szCs w:val="44"/>
        </w:rPr>
        <w:t>青岛市工程研究中心申请报告编写提纲</w:t>
      </w:r>
    </w:p>
    <w:p w14:paraId="62923A7B">
      <w:pPr>
        <w:autoSpaceDE w:val="0"/>
        <w:autoSpaceDN w:val="0"/>
        <w:adjustRightInd w:val="0"/>
        <w:spacing w:line="560" w:lineRule="exact"/>
        <w:ind w:firstLine="640" w:firstLineChars="200"/>
        <w:jc w:val="left"/>
        <w:rPr>
          <w:rFonts w:eastAsia="黑体"/>
          <w:kern w:val="0"/>
          <w:sz w:val="32"/>
          <w:szCs w:val="32"/>
        </w:rPr>
      </w:pPr>
    </w:p>
    <w:p w14:paraId="3ECDD6D7">
      <w:pPr>
        <w:autoSpaceDE w:val="0"/>
        <w:autoSpaceDN w:val="0"/>
        <w:adjustRightInd w:val="0"/>
        <w:spacing w:line="560" w:lineRule="exact"/>
        <w:ind w:firstLine="640" w:firstLineChars="200"/>
        <w:jc w:val="left"/>
        <w:rPr>
          <w:rFonts w:eastAsia="黑体"/>
          <w:kern w:val="0"/>
          <w:sz w:val="32"/>
          <w:szCs w:val="32"/>
        </w:rPr>
      </w:pPr>
      <w:r>
        <w:rPr>
          <w:rFonts w:eastAsia="黑体"/>
          <w:kern w:val="0"/>
          <w:sz w:val="32"/>
          <w:szCs w:val="32"/>
        </w:rPr>
        <w:t>一、工程研究中心的运行情况</w:t>
      </w:r>
    </w:p>
    <w:p w14:paraId="51B64304">
      <w:pPr>
        <w:autoSpaceDE w:val="0"/>
        <w:autoSpaceDN w:val="0"/>
        <w:adjustRightInd w:val="0"/>
        <w:spacing w:line="560" w:lineRule="exact"/>
        <w:ind w:firstLine="640" w:firstLineChars="200"/>
        <w:rPr>
          <w:rFonts w:eastAsia="仿宋_GB2312"/>
          <w:kern w:val="0"/>
          <w:sz w:val="32"/>
          <w:szCs w:val="32"/>
        </w:rPr>
      </w:pPr>
      <w:r>
        <w:rPr>
          <w:rFonts w:eastAsia="仿宋_GB2312"/>
          <w:kern w:val="0"/>
          <w:sz w:val="32"/>
          <w:szCs w:val="32"/>
        </w:rPr>
        <w:t>青岛市工程研究中心评价数据表及附表</w:t>
      </w:r>
    </w:p>
    <w:p w14:paraId="67D0C1E8">
      <w:pPr>
        <w:autoSpaceDE w:val="0"/>
        <w:autoSpaceDN w:val="0"/>
        <w:adjustRightInd w:val="0"/>
        <w:spacing w:line="560" w:lineRule="exact"/>
        <w:ind w:firstLine="640" w:firstLineChars="200"/>
        <w:jc w:val="left"/>
        <w:rPr>
          <w:rFonts w:eastAsia="黑体"/>
          <w:kern w:val="0"/>
          <w:sz w:val="32"/>
          <w:szCs w:val="32"/>
        </w:rPr>
      </w:pPr>
      <w:r>
        <w:rPr>
          <w:rFonts w:eastAsia="黑体"/>
          <w:kern w:val="0"/>
          <w:sz w:val="32"/>
          <w:szCs w:val="32"/>
        </w:rPr>
        <w:t>二、申请单位的基本情况</w:t>
      </w:r>
    </w:p>
    <w:p w14:paraId="10FEC815">
      <w:pPr>
        <w:autoSpaceDE w:val="0"/>
        <w:autoSpaceDN w:val="0"/>
        <w:adjustRightInd w:val="0"/>
        <w:spacing w:line="560" w:lineRule="exact"/>
        <w:ind w:firstLine="640" w:firstLineChars="200"/>
        <w:rPr>
          <w:rFonts w:eastAsia="仿宋_GB2312"/>
          <w:kern w:val="0"/>
          <w:sz w:val="32"/>
          <w:szCs w:val="32"/>
        </w:rPr>
      </w:pPr>
      <w:r>
        <w:rPr>
          <w:rFonts w:eastAsia="仿宋_GB2312"/>
          <w:kern w:val="0"/>
          <w:sz w:val="32"/>
          <w:szCs w:val="32"/>
        </w:rPr>
        <w:t>1．承担单位为企业的，介绍本企业经营管理等基本情况，包括所有制性质、职工人数、固定资产、资产负债率、银行信用等级、销售收入、利润、主导产品及市场占有率、技术来源等；承担单位为高校或科研机构的，介绍本单位拥有的科研设施、研发人员及主要研究方向，近3年开展的研发活动，承担的国家级、省级和市级课题，取得的科技成果等情况</w:t>
      </w:r>
    </w:p>
    <w:p w14:paraId="5737462F">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2．承担单位在本领域技术创新中的作用和竞争力</w:t>
      </w:r>
    </w:p>
    <w:p w14:paraId="7BE86846">
      <w:pPr>
        <w:autoSpaceDE w:val="0"/>
        <w:autoSpaceDN w:val="0"/>
        <w:adjustRightInd w:val="0"/>
        <w:spacing w:line="560" w:lineRule="exact"/>
        <w:ind w:firstLine="640" w:firstLineChars="200"/>
        <w:jc w:val="left"/>
        <w:rPr>
          <w:rFonts w:eastAsia="黑体"/>
          <w:kern w:val="0"/>
          <w:sz w:val="32"/>
          <w:szCs w:val="32"/>
        </w:rPr>
      </w:pPr>
      <w:r>
        <w:rPr>
          <w:rFonts w:eastAsia="黑体"/>
          <w:kern w:val="0"/>
          <w:sz w:val="32"/>
          <w:szCs w:val="32"/>
        </w:rPr>
        <w:t>三、工程研究中心的基本情况</w:t>
      </w:r>
    </w:p>
    <w:p w14:paraId="6D68F067">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1．工程研究中心定位、发展规划及目标</w:t>
      </w:r>
    </w:p>
    <w:p w14:paraId="2FC4A6E2">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2．组织运行机制，包括各项规章制度，组织机构，研发经费，激励机制，创新环境等情况</w:t>
      </w:r>
    </w:p>
    <w:p w14:paraId="4632D5D9">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3．研究开发及试验的基础条件</w:t>
      </w:r>
    </w:p>
    <w:p w14:paraId="56D2C59B">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4．近3年开展的研发工作，包括原始创新、自主开发、引进技术消化吸收、产学研合作等情况</w:t>
      </w:r>
    </w:p>
    <w:p w14:paraId="3109B169">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5．信息化建设情况</w:t>
      </w:r>
    </w:p>
    <w:p w14:paraId="0037F7DA">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6．技术带头人与创新团队情况</w:t>
      </w:r>
    </w:p>
    <w:p w14:paraId="232AA27A">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7．近3年取得的主要创新成果及其经济效益</w:t>
      </w:r>
    </w:p>
    <w:p w14:paraId="518D8C3D">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8．工程研究中心未来3年发展目标、主要任务和措施</w:t>
      </w:r>
    </w:p>
    <w:p w14:paraId="1126791C">
      <w:pPr>
        <w:autoSpaceDE w:val="0"/>
        <w:autoSpaceDN w:val="0"/>
        <w:adjustRightInd w:val="0"/>
        <w:spacing w:line="560" w:lineRule="exact"/>
        <w:ind w:firstLine="640" w:firstLineChars="200"/>
        <w:jc w:val="left"/>
        <w:rPr>
          <w:rFonts w:eastAsia="黑体"/>
          <w:kern w:val="0"/>
          <w:sz w:val="32"/>
          <w:szCs w:val="32"/>
        </w:rPr>
      </w:pPr>
      <w:r>
        <w:rPr>
          <w:rFonts w:eastAsia="黑体"/>
          <w:kern w:val="0"/>
          <w:sz w:val="32"/>
          <w:szCs w:val="32"/>
        </w:rPr>
        <w:t>四、有关证明材料</w:t>
      </w:r>
    </w:p>
    <w:p w14:paraId="31468A84">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详见《指标解释及证明材料》。</w:t>
      </w:r>
    </w:p>
    <w:p w14:paraId="7F074D80">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注：申请报告封面需要加盖承担单位公章。</w:t>
      </w:r>
    </w:p>
    <w:p w14:paraId="519A0B0D">
      <w:pPr>
        <w:autoSpaceDE w:val="0"/>
        <w:autoSpaceDN w:val="0"/>
        <w:adjustRightInd w:val="0"/>
        <w:spacing w:line="560" w:lineRule="exact"/>
        <w:jc w:val="left"/>
        <w:rPr>
          <w:rFonts w:eastAsia="黑体"/>
          <w:kern w:val="0"/>
          <w:sz w:val="32"/>
          <w:szCs w:val="32"/>
        </w:rPr>
      </w:pPr>
      <w:r>
        <w:rPr>
          <w:rFonts w:eastAsia="仿宋_GB2312"/>
          <w:kern w:val="0"/>
          <w:sz w:val="32"/>
          <w:szCs w:val="32"/>
        </w:rPr>
        <w:br w:type="page"/>
      </w:r>
      <w:r>
        <w:rPr>
          <w:rFonts w:eastAsia="黑体"/>
          <w:kern w:val="0"/>
          <w:sz w:val="32"/>
          <w:szCs w:val="32"/>
        </w:rPr>
        <w:t>附件5</w:t>
      </w:r>
    </w:p>
    <w:p w14:paraId="3E0E4EB7">
      <w:pPr>
        <w:spacing w:line="560" w:lineRule="exact"/>
        <w:jc w:val="center"/>
        <w:rPr>
          <w:rFonts w:eastAsia="方正小标宋_GBK"/>
          <w:kern w:val="0"/>
          <w:sz w:val="44"/>
          <w:szCs w:val="44"/>
        </w:rPr>
      </w:pPr>
      <w:bookmarkStart w:id="2" w:name="_Hlk97505821"/>
      <w:r>
        <w:rPr>
          <w:rFonts w:eastAsia="方正小标宋_GBK"/>
          <w:kern w:val="0"/>
          <w:sz w:val="44"/>
          <w:szCs w:val="44"/>
        </w:rPr>
        <w:t>填报说明、指标解释及证明材料</w:t>
      </w:r>
    </w:p>
    <w:bookmarkEnd w:id="2"/>
    <w:p w14:paraId="45917DA6">
      <w:pPr>
        <w:spacing w:line="560" w:lineRule="exact"/>
        <w:jc w:val="center"/>
        <w:rPr>
          <w:rFonts w:eastAsia="方正小标宋_GBK"/>
          <w:kern w:val="0"/>
          <w:sz w:val="44"/>
          <w:szCs w:val="44"/>
        </w:rPr>
      </w:pPr>
    </w:p>
    <w:p w14:paraId="56B06E45">
      <w:pPr>
        <w:spacing w:line="560" w:lineRule="exact"/>
        <w:ind w:firstLine="640" w:firstLineChars="200"/>
        <w:rPr>
          <w:rFonts w:eastAsia="黑体"/>
          <w:sz w:val="32"/>
          <w:szCs w:val="32"/>
        </w:rPr>
      </w:pPr>
      <w:r>
        <w:rPr>
          <w:rFonts w:eastAsia="黑体"/>
          <w:sz w:val="32"/>
          <w:szCs w:val="32"/>
        </w:rPr>
        <w:t>一、填报说明</w:t>
      </w:r>
    </w:p>
    <w:p w14:paraId="2EB1E535">
      <w:pPr>
        <w:spacing w:line="560" w:lineRule="exact"/>
        <w:ind w:firstLine="640" w:firstLineChars="200"/>
      </w:pPr>
      <w:r>
        <w:rPr>
          <w:rFonts w:eastAsia="仿宋_GB2312"/>
          <w:sz w:val="32"/>
          <w:szCs w:val="32"/>
        </w:rPr>
        <w:t>承担单位为企业的工程研究中心</w:t>
      </w:r>
      <w:bookmarkStart w:id="3" w:name="_Hlk97498477"/>
      <w:r>
        <w:rPr>
          <w:rFonts w:eastAsia="仿宋_GB2312"/>
          <w:sz w:val="32"/>
          <w:szCs w:val="32"/>
        </w:rPr>
        <w:t>需提交《企业研究开发项目情况》（107-1表）和《</w:t>
      </w:r>
      <w:r>
        <w:rPr>
          <w:rFonts w:hint="eastAsia" w:eastAsia="仿宋_GB2312"/>
          <w:sz w:val="32"/>
          <w:szCs w:val="32"/>
        </w:rPr>
        <w:t>企业</w:t>
      </w:r>
      <w:r>
        <w:rPr>
          <w:rFonts w:eastAsia="仿宋_GB2312"/>
          <w:sz w:val="32"/>
          <w:szCs w:val="32"/>
        </w:rPr>
        <w:t>研究开发活动及相关情况》（107-2表）</w:t>
      </w:r>
      <w:bookmarkEnd w:id="3"/>
      <w:r>
        <w:rPr>
          <w:rFonts w:eastAsia="仿宋_GB2312"/>
          <w:sz w:val="32"/>
          <w:szCs w:val="32"/>
        </w:rPr>
        <w:t>，应从</w:t>
      </w:r>
      <w:r>
        <w:rPr>
          <w:rFonts w:eastAsia="仿宋_GB2312"/>
          <w:bCs/>
          <w:sz w:val="32"/>
          <w:szCs w:val="32"/>
        </w:rPr>
        <w:t>国家统计局联网直报平台</w:t>
      </w:r>
      <w:r>
        <w:rPr>
          <w:rFonts w:eastAsia="仿宋_GB2312"/>
          <w:sz w:val="32"/>
          <w:szCs w:val="32"/>
        </w:rPr>
        <w:t>导出。</w:t>
      </w:r>
      <w:bookmarkStart w:id="4" w:name="_Hlk97498469"/>
      <w:r>
        <w:rPr>
          <w:rFonts w:eastAsia="仿宋_GB2312"/>
          <w:sz w:val="32"/>
          <w:szCs w:val="32"/>
        </w:rPr>
        <w:t>未列入国家统计局规模以上工业法人单位研发活动情况统计范围的企业</w:t>
      </w:r>
      <w:bookmarkEnd w:id="4"/>
      <w:r>
        <w:rPr>
          <w:rFonts w:eastAsia="仿宋_GB2312"/>
          <w:sz w:val="32"/>
          <w:szCs w:val="32"/>
        </w:rPr>
        <w:t>，应参照上述表格格式填报后盖章提交。涉及107表的指标，企业提供的其他证明材料（如研发项目的立项证明文件、技术开发仪器设备清单等，详见“二、指标解释及证明材料”部分），相关情况应与107表一致。</w:t>
      </w:r>
    </w:p>
    <w:p w14:paraId="40A4EA38">
      <w:pPr>
        <w:spacing w:line="560" w:lineRule="exact"/>
        <w:ind w:firstLine="640" w:firstLineChars="200"/>
        <w:rPr>
          <w:rFonts w:eastAsia="黑体"/>
          <w:sz w:val="32"/>
          <w:szCs w:val="32"/>
        </w:rPr>
      </w:pPr>
      <w:r>
        <w:rPr>
          <w:rFonts w:eastAsia="黑体"/>
          <w:sz w:val="32"/>
          <w:szCs w:val="32"/>
        </w:rPr>
        <w:t>二、指标解释及证明材料</w:t>
      </w:r>
    </w:p>
    <w:p w14:paraId="20C78605">
      <w:pPr>
        <w:pStyle w:val="3"/>
        <w:adjustRightInd w:val="0"/>
        <w:spacing w:line="560" w:lineRule="exact"/>
        <w:ind w:firstLine="600"/>
        <w:rPr>
          <w:rFonts w:eastAsia="仿宋_GB2312"/>
          <w:color w:val="000000"/>
          <w:kern w:val="0"/>
          <w:szCs w:val="32"/>
        </w:rPr>
      </w:pPr>
      <w:r>
        <w:rPr>
          <w:rFonts w:hint="eastAsia" w:eastAsia="仿宋_GB2312"/>
          <w:b/>
          <w:bCs/>
          <w:szCs w:val="32"/>
        </w:rPr>
        <w:t>1</w:t>
      </w:r>
      <w:r>
        <w:rPr>
          <w:rFonts w:eastAsia="仿宋_GB2312"/>
          <w:b/>
          <w:bCs/>
          <w:szCs w:val="32"/>
        </w:rPr>
        <w:t>. 承担单位主持市级及以上重点科研项目数量：</w:t>
      </w:r>
      <w:r>
        <w:rPr>
          <w:rFonts w:eastAsia="仿宋_GB2312"/>
          <w:color w:val="000000"/>
          <w:kern w:val="0"/>
          <w:szCs w:val="32"/>
        </w:rPr>
        <w:t>指承担单位主持过的科研项目中，由市级及以上政府组成部门、直属机构直接委托或批复的科技项目。主要包括科技重大专项、重点研发计划、技术创新引导专项（基金）、基地和人才专项，以及有关部门支持的为解决产业“卡脖子”技术问题开展的重大项目等。</w:t>
      </w:r>
    </w:p>
    <w:p w14:paraId="50EBE0F3">
      <w:pPr>
        <w:spacing w:line="560" w:lineRule="exact"/>
        <w:ind w:firstLine="640" w:firstLineChars="200"/>
        <w:rPr>
          <w:rFonts w:eastAsia="仿宋_GB2312"/>
          <w:sz w:val="32"/>
          <w:szCs w:val="32"/>
        </w:rPr>
      </w:pPr>
      <w:r>
        <w:rPr>
          <w:rFonts w:eastAsia="仿宋_GB2312"/>
          <w:sz w:val="32"/>
          <w:szCs w:val="32"/>
        </w:rPr>
        <w:t>证明材料：科研项目的政府批复文件。</w:t>
      </w:r>
    </w:p>
    <w:p w14:paraId="537233E4">
      <w:pPr>
        <w:spacing w:line="560" w:lineRule="exact"/>
        <w:ind w:firstLine="643" w:firstLineChars="200"/>
        <w:rPr>
          <w:rFonts w:eastAsia="仿宋_GB2312"/>
          <w:b/>
          <w:bCs/>
          <w:sz w:val="32"/>
          <w:szCs w:val="32"/>
        </w:rPr>
      </w:pPr>
      <w:r>
        <w:rPr>
          <w:rFonts w:hint="eastAsia" w:eastAsia="仿宋_GB2312"/>
          <w:b/>
          <w:bCs/>
          <w:sz w:val="32"/>
          <w:szCs w:val="32"/>
        </w:rPr>
        <w:t>2</w:t>
      </w:r>
      <w:r>
        <w:rPr>
          <w:rFonts w:eastAsia="仿宋_GB2312"/>
          <w:b/>
          <w:bCs/>
          <w:sz w:val="32"/>
          <w:szCs w:val="32"/>
        </w:rPr>
        <w:t>. 工程研究中心现有研发场所面积：</w:t>
      </w:r>
      <w:r>
        <w:rPr>
          <w:rFonts w:eastAsia="仿宋_GB2312"/>
          <w:sz w:val="32"/>
          <w:szCs w:val="32"/>
        </w:rPr>
        <w:t>截至报告年度</w:t>
      </w:r>
      <w:r>
        <w:rPr>
          <w:rFonts w:eastAsia="楷体_GB2312"/>
          <w:sz w:val="28"/>
          <w:szCs w:val="32"/>
        </w:rPr>
        <w:t>（在此次认定中指2024年，下同）</w:t>
      </w:r>
      <w:r>
        <w:rPr>
          <w:rFonts w:eastAsia="仿宋_GB2312"/>
          <w:sz w:val="32"/>
          <w:szCs w:val="32"/>
        </w:rPr>
        <w:t>末，工程研究中心实际占用的场地面积，以及与相关单位以合同方式确立的可自主支配的场地面积之和。主要包括工程研究中心用于研发、中试、办公等用途的自有产权或使用权（含租赁）的建筑面积。应为相对独立的整个场所面积，不能为按照人员数核算的标称面积。</w:t>
      </w:r>
    </w:p>
    <w:p w14:paraId="09A84C97">
      <w:pPr>
        <w:spacing w:line="560" w:lineRule="exact"/>
        <w:ind w:firstLine="640" w:firstLineChars="200"/>
        <w:rPr>
          <w:rFonts w:eastAsia="仿宋_GB2312"/>
          <w:sz w:val="32"/>
          <w:szCs w:val="32"/>
        </w:rPr>
      </w:pPr>
      <w:r>
        <w:rPr>
          <w:rFonts w:eastAsia="仿宋_GB2312"/>
          <w:sz w:val="32"/>
          <w:szCs w:val="32"/>
        </w:rPr>
        <w:t>证明材料：房屋产权证明、使用权证明或房屋租赁合同，能证明工程研究中心拥有或使用该建筑面积。</w:t>
      </w:r>
    </w:p>
    <w:p w14:paraId="73E51E66">
      <w:pPr>
        <w:spacing w:line="560" w:lineRule="exact"/>
        <w:ind w:firstLine="643" w:firstLineChars="200"/>
        <w:rPr>
          <w:rFonts w:eastAsia="仿宋_GB2312"/>
          <w:sz w:val="32"/>
          <w:szCs w:val="32"/>
        </w:rPr>
      </w:pPr>
      <w:r>
        <w:rPr>
          <w:rFonts w:hint="eastAsia" w:eastAsia="仿宋_GB2312"/>
          <w:b/>
          <w:bCs/>
          <w:sz w:val="32"/>
          <w:szCs w:val="32"/>
        </w:rPr>
        <w:t>3</w:t>
      </w:r>
      <w:r>
        <w:rPr>
          <w:rFonts w:eastAsia="仿宋_GB2312"/>
          <w:b/>
          <w:bCs/>
          <w:sz w:val="32"/>
          <w:szCs w:val="32"/>
        </w:rPr>
        <w:t>. 工程研究中心研发设备原值：</w:t>
      </w:r>
      <w:r>
        <w:rPr>
          <w:rFonts w:eastAsia="仿宋_GB2312"/>
          <w:sz w:val="32"/>
          <w:szCs w:val="32"/>
        </w:rPr>
        <w:t>截至报告年度末，工程研究中心拥有的用于研发的固定资产中的仪器和设备原价。其中，设备包括用于研发活动 的各类机器和设备、试验测量仪器、运输工具、工装工具等。</w:t>
      </w:r>
    </w:p>
    <w:p w14:paraId="759DD612">
      <w:pPr>
        <w:spacing w:line="560" w:lineRule="exact"/>
        <w:ind w:firstLine="640" w:firstLineChars="200"/>
        <w:rPr>
          <w:rFonts w:eastAsia="仿宋_GB2312"/>
          <w:sz w:val="32"/>
          <w:szCs w:val="32"/>
        </w:rPr>
      </w:pPr>
      <w:r>
        <w:rPr>
          <w:rFonts w:eastAsia="仿宋_GB2312"/>
          <w:sz w:val="32"/>
          <w:szCs w:val="32"/>
        </w:rPr>
        <w:t>证明材料：企业研究开发活动及相关情况表（即表107-2）、技术开发仪器设备清单（包含名称、数量、单价、制造商等）以及采购原值发票（提供不少于三分之二的研发设备发票）或采购合同等。</w:t>
      </w:r>
    </w:p>
    <w:p w14:paraId="3CD94BBC">
      <w:pPr>
        <w:spacing w:line="560" w:lineRule="exact"/>
        <w:ind w:firstLine="643" w:firstLineChars="200"/>
        <w:rPr>
          <w:rFonts w:eastAsia="仿宋_GB2312"/>
          <w:sz w:val="32"/>
          <w:szCs w:val="32"/>
        </w:rPr>
      </w:pPr>
      <w:r>
        <w:rPr>
          <w:rFonts w:hint="eastAsia" w:eastAsia="仿宋_GB2312"/>
          <w:b/>
          <w:bCs/>
          <w:sz w:val="32"/>
          <w:szCs w:val="32"/>
        </w:rPr>
        <w:t>4</w:t>
      </w:r>
      <w:r>
        <w:rPr>
          <w:rFonts w:eastAsia="仿宋_GB2312"/>
          <w:b/>
          <w:bCs/>
          <w:sz w:val="32"/>
          <w:szCs w:val="32"/>
        </w:rPr>
        <w:t>．工程研究中心固定科研人员数量：</w:t>
      </w:r>
      <w:r>
        <w:rPr>
          <w:rFonts w:eastAsia="仿宋_GB2312"/>
          <w:sz w:val="32"/>
          <w:szCs w:val="32"/>
        </w:rPr>
        <w:t>截至报告年度末工程研究中心中从事基础研究、应用研究和试验发展活动的人员，以及与上述三类研发活动相关的管理人员和直接服务人员，即直接为研发活动提供资料文献、材料供应、设备维护等服务的人员。不包括为研发活动提供间接服务的人员，如餐饮服务、安保人员等。</w:t>
      </w:r>
    </w:p>
    <w:p w14:paraId="7835301C">
      <w:pPr>
        <w:spacing w:line="560" w:lineRule="exact"/>
        <w:ind w:firstLine="640" w:firstLineChars="200"/>
        <w:rPr>
          <w:rFonts w:eastAsia="仿宋_GB2312"/>
          <w:sz w:val="32"/>
          <w:szCs w:val="32"/>
        </w:rPr>
      </w:pPr>
      <w:r>
        <w:rPr>
          <w:rFonts w:eastAsia="仿宋_GB2312"/>
          <w:sz w:val="32"/>
          <w:szCs w:val="32"/>
        </w:rPr>
        <w:t>证明材料：企业研究开发活动及相关情况表（即表107-2）、固定科研人员清单（含社保号）。</w:t>
      </w:r>
    </w:p>
    <w:p w14:paraId="0ACD003C">
      <w:pPr>
        <w:spacing w:line="560" w:lineRule="exact"/>
        <w:ind w:firstLine="643" w:firstLineChars="200"/>
        <w:rPr>
          <w:rFonts w:eastAsia="仿宋_GB2312"/>
          <w:sz w:val="32"/>
          <w:szCs w:val="32"/>
        </w:rPr>
      </w:pPr>
      <w:r>
        <w:rPr>
          <w:rFonts w:hint="eastAsia" w:eastAsia="仿宋_GB2312"/>
          <w:b/>
          <w:bCs/>
          <w:sz w:val="32"/>
          <w:szCs w:val="32"/>
        </w:rPr>
        <w:t>5</w:t>
      </w:r>
      <w:r>
        <w:rPr>
          <w:rFonts w:eastAsia="仿宋_GB2312"/>
          <w:b/>
          <w:bCs/>
          <w:sz w:val="32"/>
          <w:szCs w:val="32"/>
        </w:rPr>
        <w:t>.高级专家、博士和硕士人数：</w:t>
      </w:r>
      <w:r>
        <w:rPr>
          <w:rFonts w:eastAsia="仿宋_GB2312"/>
          <w:sz w:val="32"/>
          <w:szCs w:val="32"/>
        </w:rPr>
        <w:t>高级专家指全职在工程研究中心工作、获得国家、省、部和计划单列市等政府部门认定的有突出贡献的专家或者享受国家、省、部和计划单列市专项津贴的专家数。博士和硕士人数指全职在工程研究中心工作、获得博士、硕士学位的人员数。在站博士后可以作为博士进行统计。</w:t>
      </w:r>
    </w:p>
    <w:p w14:paraId="219D011F">
      <w:pPr>
        <w:spacing w:line="560" w:lineRule="exact"/>
        <w:ind w:firstLine="640" w:firstLineChars="200"/>
        <w:rPr>
          <w:rFonts w:eastAsia="仿宋_GB2312"/>
          <w:sz w:val="32"/>
          <w:szCs w:val="32"/>
        </w:rPr>
      </w:pPr>
      <w:r>
        <w:rPr>
          <w:rFonts w:eastAsia="仿宋_GB2312"/>
          <w:sz w:val="32"/>
          <w:szCs w:val="32"/>
        </w:rPr>
        <w:t>证明材料：企业研究开发活动及相关情况表（即表107-2）及专家证明材料、博士和硕士学历或毕业证书等。</w:t>
      </w:r>
    </w:p>
    <w:p w14:paraId="1C010D1F">
      <w:pPr>
        <w:spacing w:line="560" w:lineRule="exact"/>
        <w:ind w:firstLine="643" w:firstLineChars="200"/>
        <w:rPr>
          <w:rFonts w:eastAsia="仿宋_GB2312"/>
          <w:sz w:val="32"/>
          <w:szCs w:val="32"/>
        </w:rPr>
      </w:pPr>
      <w:r>
        <w:rPr>
          <w:rFonts w:hint="eastAsia" w:eastAsia="仿宋_GB2312"/>
          <w:b/>
          <w:bCs/>
          <w:sz w:val="32"/>
          <w:szCs w:val="32"/>
        </w:rPr>
        <w:t>6</w:t>
      </w:r>
      <w:r>
        <w:rPr>
          <w:rFonts w:eastAsia="仿宋_GB2312"/>
          <w:b/>
          <w:bCs/>
          <w:sz w:val="32"/>
          <w:szCs w:val="32"/>
        </w:rPr>
        <w:t>．企业固定资产原值</w:t>
      </w:r>
      <w:r>
        <w:rPr>
          <w:rFonts w:eastAsia="仿宋_GB2312"/>
          <w:sz w:val="32"/>
          <w:szCs w:val="32"/>
        </w:rPr>
        <w:t>：指截至报告年度末企业为生产产品、提供劳务、出租或者经营管理而持有的非货币性资产，包括房屋与建筑物、一般办公设备、机器、机械、运输工具以及其他与生产经营活动有关的设备、器具、工具等。</w:t>
      </w:r>
    </w:p>
    <w:p w14:paraId="17AA4E66">
      <w:pPr>
        <w:spacing w:line="560" w:lineRule="exact"/>
        <w:ind w:firstLine="640" w:firstLineChars="200"/>
        <w:rPr>
          <w:rFonts w:eastAsia="仿宋_GB2312"/>
          <w:sz w:val="32"/>
          <w:szCs w:val="32"/>
        </w:rPr>
      </w:pPr>
      <w:r>
        <w:rPr>
          <w:rFonts w:eastAsia="仿宋_GB2312"/>
          <w:sz w:val="32"/>
          <w:szCs w:val="32"/>
        </w:rPr>
        <w:t>证明材料：第三方机构出具的审计报告等。</w:t>
      </w:r>
    </w:p>
    <w:p w14:paraId="0920B189">
      <w:pPr>
        <w:spacing w:line="560" w:lineRule="exact"/>
        <w:ind w:firstLine="643" w:firstLineChars="200"/>
        <w:rPr>
          <w:rFonts w:eastAsia="仿宋_GB2312"/>
          <w:sz w:val="32"/>
          <w:szCs w:val="32"/>
        </w:rPr>
      </w:pPr>
      <w:r>
        <w:rPr>
          <w:rFonts w:hint="eastAsia" w:eastAsia="仿宋_GB2312"/>
          <w:b/>
          <w:bCs/>
          <w:sz w:val="32"/>
          <w:szCs w:val="32"/>
        </w:rPr>
        <w:t>7</w:t>
      </w:r>
      <w:r>
        <w:rPr>
          <w:rFonts w:eastAsia="仿宋_GB2312"/>
          <w:sz w:val="32"/>
          <w:szCs w:val="32"/>
        </w:rPr>
        <w:t>．</w:t>
      </w:r>
      <w:r>
        <w:rPr>
          <w:rFonts w:eastAsia="仿宋_GB2312"/>
          <w:b/>
          <w:sz w:val="32"/>
          <w:szCs w:val="32"/>
        </w:rPr>
        <w:t>企业主营业务收入</w:t>
      </w:r>
      <w:r>
        <w:rPr>
          <w:rFonts w:eastAsia="仿宋_GB2312"/>
          <w:sz w:val="32"/>
          <w:szCs w:val="32"/>
        </w:rPr>
        <w:t>：指报告年度内企业确认的销售商品、提供劳务等主营业务的收入。根据会计“主营业务收入”科目的期末贷方余额填报。若会计报告和会计报表中未设置该科目，以“营业收入”代替填报。</w:t>
      </w:r>
    </w:p>
    <w:p w14:paraId="7A692EAC">
      <w:pPr>
        <w:spacing w:line="560" w:lineRule="exact"/>
        <w:ind w:firstLine="640" w:firstLineChars="200"/>
        <w:rPr>
          <w:rFonts w:eastAsia="仿宋_GB2312"/>
          <w:sz w:val="32"/>
          <w:szCs w:val="32"/>
        </w:rPr>
      </w:pPr>
      <w:r>
        <w:rPr>
          <w:rFonts w:eastAsia="仿宋_GB2312"/>
          <w:sz w:val="32"/>
          <w:szCs w:val="32"/>
        </w:rPr>
        <w:t>证明材料：经第三方机构审计的企业财务报表（包括：企业资产负债表、损益表、现金流量表）等。</w:t>
      </w:r>
    </w:p>
    <w:p w14:paraId="6AD1A8FC">
      <w:pPr>
        <w:spacing w:line="560" w:lineRule="exact"/>
        <w:ind w:firstLine="643" w:firstLineChars="200"/>
        <w:rPr>
          <w:rFonts w:eastAsia="仿宋_GB2312"/>
          <w:sz w:val="32"/>
          <w:szCs w:val="32"/>
        </w:rPr>
      </w:pPr>
      <w:r>
        <w:rPr>
          <w:rFonts w:hint="eastAsia" w:eastAsia="仿宋_GB2312"/>
          <w:b/>
          <w:bCs/>
          <w:sz w:val="32"/>
          <w:szCs w:val="32"/>
        </w:rPr>
        <w:t>8</w:t>
      </w:r>
      <w:r>
        <w:rPr>
          <w:rFonts w:eastAsia="仿宋_GB2312"/>
          <w:sz w:val="32"/>
          <w:szCs w:val="32"/>
        </w:rPr>
        <w:t xml:space="preserve">. </w:t>
      </w:r>
      <w:r>
        <w:rPr>
          <w:rFonts w:eastAsia="仿宋_GB2312"/>
          <w:b/>
          <w:sz w:val="32"/>
          <w:szCs w:val="32"/>
        </w:rPr>
        <w:t>企业研发经费支出</w:t>
      </w:r>
      <w:r>
        <w:rPr>
          <w:rFonts w:eastAsia="仿宋_GB2312"/>
          <w:sz w:val="32"/>
          <w:szCs w:val="32"/>
        </w:rPr>
        <w:t>：指报告年度内企业研发活动的经费支出合计，包括企业内部的日常研发经费支出，当年形成用于研发的固定资产支出和委托外单位开展研发的经费支出。</w:t>
      </w:r>
    </w:p>
    <w:p w14:paraId="14254E7E">
      <w:pPr>
        <w:spacing w:line="560" w:lineRule="exact"/>
        <w:ind w:firstLine="640" w:firstLineChars="200"/>
        <w:rPr>
          <w:rFonts w:eastAsia="仿宋_GB2312"/>
          <w:sz w:val="32"/>
          <w:szCs w:val="32"/>
        </w:rPr>
      </w:pPr>
      <w:r>
        <w:rPr>
          <w:rFonts w:eastAsia="仿宋_GB2312"/>
          <w:sz w:val="32"/>
          <w:szCs w:val="32"/>
        </w:rPr>
        <w:t>证明材料：企业研究开发活动及相关情况表（即表107-2）等。</w:t>
      </w:r>
    </w:p>
    <w:p w14:paraId="03311089">
      <w:pPr>
        <w:spacing w:line="560" w:lineRule="exact"/>
        <w:ind w:firstLine="643" w:firstLineChars="200"/>
        <w:rPr>
          <w:rFonts w:eastAsia="仿宋_GB2312"/>
          <w:bCs/>
          <w:sz w:val="32"/>
          <w:szCs w:val="32"/>
        </w:rPr>
      </w:pPr>
      <w:r>
        <w:rPr>
          <w:rFonts w:hint="eastAsia" w:eastAsia="仿宋_GB2312"/>
          <w:b/>
          <w:bCs/>
          <w:sz w:val="32"/>
          <w:szCs w:val="32"/>
        </w:rPr>
        <w:t>9</w:t>
      </w:r>
      <w:r>
        <w:rPr>
          <w:rFonts w:eastAsia="仿宋_GB2312"/>
          <w:sz w:val="32"/>
          <w:szCs w:val="32"/>
        </w:rPr>
        <w:t>．</w:t>
      </w:r>
      <w:bookmarkStart w:id="5" w:name="_Hlk97504004"/>
      <w:r>
        <w:rPr>
          <w:rFonts w:hint="eastAsia" w:eastAsia="仿宋_GB2312"/>
          <w:b/>
          <w:sz w:val="32"/>
          <w:szCs w:val="32"/>
        </w:rPr>
        <w:t>报告年度</w:t>
      </w:r>
      <w:r>
        <w:rPr>
          <w:rFonts w:eastAsia="仿宋_GB2312"/>
          <w:b/>
          <w:sz w:val="32"/>
          <w:szCs w:val="32"/>
        </w:rPr>
        <w:t>工程研究中心建设与运行经费</w:t>
      </w:r>
      <w:bookmarkEnd w:id="5"/>
      <w:r>
        <w:rPr>
          <w:rFonts w:eastAsia="仿宋_GB2312"/>
          <w:b/>
          <w:sz w:val="32"/>
          <w:szCs w:val="32"/>
        </w:rPr>
        <w:t>：</w:t>
      </w:r>
      <w:r>
        <w:rPr>
          <w:rFonts w:eastAsia="仿宋_GB2312"/>
          <w:bCs/>
          <w:sz w:val="32"/>
          <w:szCs w:val="32"/>
        </w:rPr>
        <w:t>指</w:t>
      </w:r>
      <w:r>
        <w:rPr>
          <w:rFonts w:hint="eastAsia" w:eastAsia="仿宋_GB2312"/>
          <w:bCs/>
          <w:sz w:val="32"/>
          <w:szCs w:val="32"/>
        </w:rPr>
        <w:t>报告年度</w:t>
      </w:r>
      <w:r>
        <w:rPr>
          <w:rFonts w:eastAsia="仿宋_GB2312"/>
          <w:bCs/>
          <w:sz w:val="32"/>
          <w:szCs w:val="32"/>
        </w:rPr>
        <w:t>高校及科研院所当年投入的用于工程研究中心建设与运行的经费数额。</w:t>
      </w:r>
    </w:p>
    <w:p w14:paraId="10688A16">
      <w:pPr>
        <w:spacing w:line="560" w:lineRule="exact"/>
        <w:ind w:firstLine="640" w:firstLineChars="200"/>
        <w:rPr>
          <w:rFonts w:eastAsia="仿宋_GB2312"/>
          <w:sz w:val="32"/>
          <w:szCs w:val="32"/>
        </w:rPr>
      </w:pPr>
      <w:r>
        <w:rPr>
          <w:rFonts w:eastAsia="仿宋_GB2312"/>
          <w:sz w:val="32"/>
          <w:szCs w:val="32"/>
        </w:rPr>
        <w:t>证明材料：审计报告或财务报表，须加盖公章。</w:t>
      </w:r>
    </w:p>
    <w:p w14:paraId="615977C5">
      <w:pPr>
        <w:spacing w:line="560" w:lineRule="exact"/>
        <w:ind w:firstLine="643" w:firstLineChars="200"/>
        <w:rPr>
          <w:rFonts w:eastAsia="仿宋_GB2312"/>
          <w:sz w:val="32"/>
          <w:szCs w:val="32"/>
        </w:rPr>
      </w:pPr>
      <w:r>
        <w:rPr>
          <w:rFonts w:eastAsia="仿宋_GB2312"/>
          <w:b/>
          <w:sz w:val="32"/>
          <w:szCs w:val="32"/>
        </w:rPr>
        <w:t>1</w:t>
      </w:r>
      <w:r>
        <w:rPr>
          <w:rFonts w:hint="eastAsia" w:eastAsia="仿宋_GB2312"/>
          <w:b/>
          <w:sz w:val="32"/>
          <w:szCs w:val="32"/>
        </w:rPr>
        <w:t>0</w:t>
      </w:r>
      <w:r>
        <w:rPr>
          <w:rFonts w:eastAsia="仿宋_GB2312"/>
          <w:b/>
          <w:sz w:val="32"/>
          <w:szCs w:val="32"/>
        </w:rPr>
        <w:t xml:space="preserve">. </w:t>
      </w:r>
      <w:r>
        <w:rPr>
          <w:rFonts w:hint="eastAsia" w:eastAsia="仿宋_GB2312"/>
          <w:b/>
          <w:sz w:val="32"/>
          <w:szCs w:val="32"/>
        </w:rPr>
        <w:t>报告年度</w:t>
      </w:r>
      <w:r>
        <w:rPr>
          <w:rFonts w:eastAsia="仿宋_GB2312"/>
          <w:b/>
          <w:sz w:val="32"/>
          <w:szCs w:val="32"/>
        </w:rPr>
        <w:t>来工程研究中心从事研发工作的外部专家人月</w:t>
      </w:r>
      <w:r>
        <w:rPr>
          <w:rFonts w:eastAsia="仿宋_GB2312"/>
          <w:sz w:val="32"/>
          <w:szCs w:val="32"/>
        </w:rPr>
        <w:t>：指</w:t>
      </w:r>
      <w:r>
        <w:rPr>
          <w:rFonts w:hint="eastAsia" w:eastAsia="仿宋_GB2312"/>
          <w:sz w:val="32"/>
          <w:szCs w:val="32"/>
        </w:rPr>
        <w:t>报告年度</w:t>
      </w:r>
      <w:r>
        <w:rPr>
          <w:rFonts w:eastAsia="仿宋_GB2312"/>
          <w:sz w:val="32"/>
          <w:szCs w:val="32"/>
        </w:rPr>
        <w:t>来工程研究中心从事研究、技术开发工作的具有较高科技开发能力的海内外专家累计人月。最小统计单位为：0.5人月。</w:t>
      </w:r>
    </w:p>
    <w:p w14:paraId="1333509C">
      <w:pPr>
        <w:spacing w:line="560" w:lineRule="exact"/>
        <w:ind w:firstLine="640" w:firstLineChars="200"/>
        <w:rPr>
          <w:rFonts w:eastAsia="仿宋_GB2312"/>
          <w:sz w:val="32"/>
          <w:szCs w:val="32"/>
        </w:rPr>
      </w:pPr>
      <w:r>
        <w:rPr>
          <w:rFonts w:eastAsia="仿宋_GB2312"/>
          <w:sz w:val="32"/>
          <w:szCs w:val="32"/>
        </w:rPr>
        <w:t>证明材料：外部专家聘任证书、劳务合同以及相应的专家证明材料（学历、职称和获奖证书等）等。</w:t>
      </w:r>
    </w:p>
    <w:p w14:paraId="70491E0E">
      <w:pPr>
        <w:spacing w:line="560" w:lineRule="exact"/>
        <w:ind w:firstLine="643" w:firstLineChars="200"/>
        <w:rPr>
          <w:rFonts w:eastAsia="仿宋_GB2312"/>
          <w:sz w:val="32"/>
          <w:szCs w:val="32"/>
        </w:rPr>
      </w:pPr>
      <w:r>
        <w:rPr>
          <w:rFonts w:eastAsia="仿宋_GB2312"/>
          <w:b/>
          <w:bCs/>
          <w:sz w:val="32"/>
          <w:szCs w:val="32"/>
        </w:rPr>
        <w:t>1</w:t>
      </w:r>
      <w:r>
        <w:rPr>
          <w:rFonts w:hint="eastAsia" w:eastAsia="仿宋_GB2312"/>
          <w:b/>
          <w:bCs/>
          <w:sz w:val="32"/>
          <w:szCs w:val="32"/>
        </w:rPr>
        <w:t>1</w:t>
      </w:r>
      <w:r>
        <w:rPr>
          <w:rFonts w:eastAsia="仿宋_GB2312"/>
          <w:b/>
          <w:bCs/>
          <w:sz w:val="32"/>
          <w:szCs w:val="32"/>
        </w:rPr>
        <w:t>.</w:t>
      </w:r>
      <w:r>
        <w:rPr>
          <w:rFonts w:eastAsia="仿宋_GB2312"/>
          <w:sz w:val="32"/>
          <w:szCs w:val="32"/>
        </w:rPr>
        <w:t xml:space="preserve"> </w:t>
      </w:r>
      <w:r>
        <w:rPr>
          <w:rFonts w:eastAsia="仿宋_GB2312"/>
          <w:b/>
          <w:sz w:val="32"/>
          <w:szCs w:val="32"/>
        </w:rPr>
        <w:t>通过国家（国际组织）和省市认证（认可）的实验室和检测机构数</w:t>
      </w:r>
      <w:r>
        <w:rPr>
          <w:rFonts w:eastAsia="仿宋_GB2312"/>
          <w:sz w:val="32"/>
          <w:szCs w:val="32"/>
        </w:rPr>
        <w:t>：指承担单位建设的，通过中华人民共和国有关国家部门、国际组织和省、市有关部门认证认可的、仍在有效期内的实验室、检验检测机构数。</w:t>
      </w:r>
    </w:p>
    <w:p w14:paraId="7D0C7697">
      <w:pPr>
        <w:spacing w:line="560" w:lineRule="exact"/>
        <w:ind w:firstLine="640" w:firstLineChars="200"/>
        <w:rPr>
          <w:rFonts w:eastAsia="仿宋_GB2312"/>
          <w:sz w:val="32"/>
          <w:szCs w:val="32"/>
        </w:rPr>
      </w:pPr>
      <w:r>
        <w:rPr>
          <w:rFonts w:eastAsia="仿宋_GB2312"/>
          <w:sz w:val="32"/>
          <w:szCs w:val="32"/>
        </w:rPr>
        <w:t>证明材料：国家、国际组织或省、市认定（认可）的实验室、检测中心证明文件等。</w:t>
      </w:r>
    </w:p>
    <w:p w14:paraId="3B9183A5">
      <w:pPr>
        <w:spacing w:line="560" w:lineRule="exact"/>
        <w:ind w:firstLine="643" w:firstLineChars="200"/>
        <w:rPr>
          <w:rFonts w:eastAsia="仿宋_GB2312"/>
          <w:sz w:val="32"/>
          <w:szCs w:val="32"/>
        </w:rPr>
      </w:pPr>
      <w:r>
        <w:rPr>
          <w:rFonts w:eastAsia="仿宋_GB2312"/>
          <w:b/>
          <w:bCs/>
          <w:sz w:val="32"/>
          <w:szCs w:val="32"/>
        </w:rPr>
        <w:t>1</w:t>
      </w:r>
      <w:r>
        <w:rPr>
          <w:rFonts w:hint="eastAsia" w:eastAsia="仿宋_GB2312"/>
          <w:b/>
          <w:bCs/>
          <w:sz w:val="32"/>
          <w:szCs w:val="32"/>
        </w:rPr>
        <w:t>2</w:t>
      </w:r>
      <w:r>
        <w:rPr>
          <w:rFonts w:eastAsia="仿宋_GB2312"/>
          <w:b/>
          <w:bCs/>
          <w:sz w:val="32"/>
          <w:szCs w:val="32"/>
        </w:rPr>
        <w:t>. 承担单位全部在研项目数：</w:t>
      </w:r>
      <w:r>
        <w:rPr>
          <w:rFonts w:eastAsia="仿宋_GB2312"/>
          <w:sz w:val="32"/>
          <w:szCs w:val="32"/>
        </w:rPr>
        <w:t>承担单位在报告年度当年立项并开展研发（制）工作、以前年份立项仍继续进行研发（制）的研究开发项目或课题，包括当年完成和年内研发工作已告失败的项目，不包括委托外单位进行研发的项目。</w:t>
      </w:r>
    </w:p>
    <w:p w14:paraId="73E12FEB">
      <w:pPr>
        <w:spacing w:line="560" w:lineRule="exact"/>
        <w:ind w:firstLine="640" w:firstLineChars="200"/>
        <w:rPr>
          <w:rFonts w:eastAsia="仿宋_GB2312"/>
          <w:sz w:val="32"/>
          <w:szCs w:val="32"/>
        </w:rPr>
      </w:pPr>
      <w:r>
        <w:rPr>
          <w:rFonts w:eastAsia="仿宋_GB2312"/>
          <w:sz w:val="32"/>
          <w:szCs w:val="32"/>
        </w:rPr>
        <w:t>证明材料：企业研究开发项目情况表（即表107-1）及全部研发项目的立项证明文件等。</w:t>
      </w:r>
    </w:p>
    <w:p w14:paraId="436E6377">
      <w:pPr>
        <w:spacing w:line="560" w:lineRule="exact"/>
        <w:ind w:firstLine="643" w:firstLineChars="200"/>
        <w:rPr>
          <w:rFonts w:eastAsia="仿宋_GB2312"/>
          <w:sz w:val="32"/>
          <w:szCs w:val="32"/>
        </w:rPr>
      </w:pPr>
      <w:r>
        <w:rPr>
          <w:rFonts w:eastAsia="仿宋_GB2312"/>
          <w:b/>
          <w:bCs/>
          <w:sz w:val="32"/>
          <w:szCs w:val="32"/>
        </w:rPr>
        <w:t>1</w:t>
      </w:r>
      <w:r>
        <w:rPr>
          <w:rFonts w:hint="eastAsia" w:eastAsia="仿宋_GB2312"/>
          <w:b/>
          <w:bCs/>
          <w:sz w:val="32"/>
          <w:szCs w:val="32"/>
        </w:rPr>
        <w:t>3</w:t>
      </w:r>
      <w:r>
        <w:rPr>
          <w:rFonts w:eastAsia="仿宋_GB2312"/>
          <w:b/>
          <w:bCs/>
          <w:sz w:val="32"/>
          <w:szCs w:val="32"/>
        </w:rPr>
        <w:t>.承担单位近三年被受理的专利申请数：</w:t>
      </w:r>
      <w:r>
        <w:rPr>
          <w:rFonts w:eastAsia="仿宋_GB2312"/>
          <w:sz w:val="32"/>
          <w:szCs w:val="32"/>
        </w:rPr>
        <w:t>指在报告年度、报告年度前一年、报告年度前二年承担单位向专利行政部门提出专利申请并被受理的专利件数（包含发明、实用新型和外观设计）。植物新品种、国家级农作物品种、国家新药、国家一级中药保护品种、集成电路布图设计专有权视同发明专利。</w:t>
      </w:r>
    </w:p>
    <w:p w14:paraId="56B4BF84">
      <w:pPr>
        <w:spacing w:line="560" w:lineRule="exact"/>
        <w:ind w:firstLine="640" w:firstLineChars="200"/>
        <w:rPr>
          <w:rFonts w:eastAsia="仿宋_GB2312"/>
          <w:sz w:val="32"/>
          <w:szCs w:val="32"/>
        </w:rPr>
      </w:pPr>
      <w:r>
        <w:rPr>
          <w:rFonts w:eastAsia="仿宋_GB2312"/>
          <w:sz w:val="32"/>
          <w:szCs w:val="32"/>
        </w:rPr>
        <w:t>证明材料：近三年企业获得的知识产权专利申请受理通知书等。</w:t>
      </w:r>
    </w:p>
    <w:p w14:paraId="3447C745">
      <w:pPr>
        <w:spacing w:line="560" w:lineRule="exact"/>
        <w:ind w:firstLine="643" w:firstLineChars="200"/>
        <w:rPr>
          <w:rFonts w:eastAsia="仿宋_GB2312"/>
          <w:sz w:val="32"/>
          <w:szCs w:val="32"/>
        </w:rPr>
      </w:pPr>
      <w:r>
        <w:rPr>
          <w:rFonts w:eastAsia="仿宋_GB2312"/>
          <w:b/>
          <w:bCs/>
          <w:sz w:val="32"/>
          <w:szCs w:val="32"/>
        </w:rPr>
        <w:t>1</w:t>
      </w:r>
      <w:r>
        <w:rPr>
          <w:rFonts w:hint="eastAsia" w:eastAsia="仿宋_GB2312"/>
          <w:b/>
          <w:bCs/>
          <w:sz w:val="32"/>
          <w:szCs w:val="32"/>
        </w:rPr>
        <w:t>4</w:t>
      </w:r>
      <w:r>
        <w:rPr>
          <w:rFonts w:eastAsia="仿宋_GB2312"/>
          <w:b/>
          <w:bCs/>
          <w:sz w:val="32"/>
          <w:szCs w:val="32"/>
        </w:rPr>
        <w:t>.</w:t>
      </w:r>
      <w:r>
        <w:rPr>
          <w:b/>
          <w:bCs/>
        </w:rPr>
        <w:t xml:space="preserve"> </w:t>
      </w:r>
      <w:r>
        <w:rPr>
          <w:rFonts w:eastAsia="仿宋_GB2312"/>
          <w:b/>
          <w:bCs/>
          <w:sz w:val="32"/>
          <w:szCs w:val="32"/>
        </w:rPr>
        <w:t>承担单位近三年被受理的发明专利申请数：</w:t>
      </w:r>
      <w:r>
        <w:rPr>
          <w:rFonts w:eastAsia="仿宋_GB2312"/>
          <w:sz w:val="32"/>
          <w:szCs w:val="32"/>
        </w:rPr>
        <w:t>指在报告年度、报告年度前一年、报告年度前二年承担单位向专利行政部门提出专利申请并被受理的发明专利件数。植物新品种、国家级农作物品种、国家新药、国家一级中药保护品种、集成电路布图设计专有权视同发明专利。</w:t>
      </w:r>
    </w:p>
    <w:p w14:paraId="3491C707">
      <w:pPr>
        <w:spacing w:line="560" w:lineRule="exact"/>
        <w:ind w:firstLine="640" w:firstLineChars="200"/>
        <w:rPr>
          <w:rFonts w:eastAsia="仿宋_GB2312"/>
          <w:sz w:val="32"/>
          <w:szCs w:val="32"/>
        </w:rPr>
      </w:pPr>
      <w:r>
        <w:rPr>
          <w:rFonts w:eastAsia="仿宋_GB2312"/>
          <w:sz w:val="32"/>
          <w:szCs w:val="32"/>
        </w:rPr>
        <w:t>证明材料：近三年企业获得的知识产权专利申请受理通知书等。</w:t>
      </w:r>
    </w:p>
    <w:p w14:paraId="4ED62004">
      <w:pPr>
        <w:spacing w:line="560" w:lineRule="exact"/>
        <w:ind w:firstLine="643" w:firstLineChars="200"/>
        <w:rPr>
          <w:rFonts w:eastAsia="仿宋_GB2312"/>
          <w:sz w:val="32"/>
          <w:szCs w:val="32"/>
        </w:rPr>
      </w:pPr>
      <w:r>
        <w:rPr>
          <w:rFonts w:eastAsia="仿宋_GB2312"/>
          <w:b/>
          <w:bCs/>
          <w:sz w:val="32"/>
          <w:szCs w:val="32"/>
        </w:rPr>
        <w:t>1</w:t>
      </w:r>
      <w:r>
        <w:rPr>
          <w:rFonts w:hint="eastAsia" w:eastAsia="仿宋_GB2312"/>
          <w:b/>
          <w:bCs/>
          <w:sz w:val="32"/>
          <w:szCs w:val="32"/>
        </w:rPr>
        <w:t>5</w:t>
      </w:r>
      <w:r>
        <w:rPr>
          <w:rFonts w:eastAsia="仿宋_GB2312"/>
          <w:b/>
          <w:bCs/>
          <w:sz w:val="32"/>
          <w:szCs w:val="32"/>
        </w:rPr>
        <w:t>.</w:t>
      </w:r>
      <w:r>
        <w:t xml:space="preserve"> </w:t>
      </w:r>
      <w:r>
        <w:rPr>
          <w:rFonts w:eastAsia="仿宋_GB2312"/>
          <w:b/>
          <w:bCs/>
          <w:sz w:val="32"/>
          <w:szCs w:val="32"/>
        </w:rPr>
        <w:t>承担单位拥有的全部有效发明专利数：</w:t>
      </w:r>
      <w:r>
        <w:rPr>
          <w:rFonts w:eastAsia="仿宋_GB2312"/>
          <w:sz w:val="32"/>
          <w:szCs w:val="32"/>
        </w:rPr>
        <w:t>截至报告年度期末，承担单位作为专利权人拥有的、经国内外知识产权行政部门授予且在有效期内的发明专利件数。拥有的植物新品种、国家级农作物品种、国家新药、国家一级中药保护品种、集成电路布图设计专有权视同发明专利。</w:t>
      </w:r>
    </w:p>
    <w:p w14:paraId="48A27586">
      <w:pPr>
        <w:spacing w:line="560" w:lineRule="exact"/>
        <w:ind w:firstLine="640" w:firstLineChars="200"/>
        <w:rPr>
          <w:rFonts w:eastAsia="仿宋_GB2312"/>
          <w:sz w:val="32"/>
          <w:szCs w:val="32"/>
        </w:rPr>
      </w:pPr>
      <w:r>
        <w:rPr>
          <w:rFonts w:eastAsia="仿宋_GB2312"/>
          <w:sz w:val="32"/>
          <w:szCs w:val="32"/>
        </w:rPr>
        <w:t>证明材料：获得的具有全部知识产权的专利授权证书、有效专利缴纳年费证明等。</w:t>
      </w:r>
    </w:p>
    <w:p w14:paraId="4E041386">
      <w:pPr>
        <w:spacing w:line="560" w:lineRule="exact"/>
        <w:ind w:firstLine="643" w:firstLineChars="200"/>
        <w:rPr>
          <w:rFonts w:eastAsia="仿宋_GB2312"/>
          <w:sz w:val="32"/>
          <w:szCs w:val="32"/>
        </w:rPr>
      </w:pPr>
      <w:r>
        <w:rPr>
          <w:rFonts w:eastAsia="仿宋_GB2312"/>
          <w:b/>
          <w:bCs/>
          <w:sz w:val="32"/>
          <w:szCs w:val="32"/>
        </w:rPr>
        <w:t>1</w:t>
      </w:r>
      <w:r>
        <w:rPr>
          <w:rFonts w:hint="eastAsia" w:eastAsia="仿宋_GB2312"/>
          <w:b/>
          <w:bCs/>
          <w:sz w:val="32"/>
          <w:szCs w:val="32"/>
        </w:rPr>
        <w:t>6</w:t>
      </w:r>
      <w:r>
        <w:rPr>
          <w:rFonts w:eastAsia="仿宋_GB2312"/>
          <w:b/>
          <w:bCs/>
          <w:sz w:val="32"/>
          <w:szCs w:val="32"/>
        </w:rPr>
        <w:t>. 承担单位近三年获市级以上自然科学、技术发明、科技进步奖项目数项：</w:t>
      </w:r>
      <w:r>
        <w:rPr>
          <w:rFonts w:eastAsia="仿宋_GB2312"/>
          <w:sz w:val="32"/>
          <w:szCs w:val="32"/>
        </w:rPr>
        <w:t>指承担单位在报告年度、报告年度前一年、报告年度前二年获得的由国务院设立并颁发的“国家自然科学奖”、“国家技术发明奖”和“国家科学技术进步奖”及由省、市政府设立的科技进步奖项目数。</w:t>
      </w:r>
    </w:p>
    <w:p w14:paraId="7008F2FF">
      <w:pPr>
        <w:spacing w:line="560" w:lineRule="exact"/>
        <w:ind w:firstLine="640" w:firstLineChars="200"/>
        <w:rPr>
          <w:rFonts w:eastAsia="仿宋_GB2312"/>
          <w:sz w:val="32"/>
          <w:szCs w:val="32"/>
        </w:rPr>
      </w:pPr>
      <w:r>
        <w:rPr>
          <w:rFonts w:eastAsia="仿宋_GB2312"/>
          <w:sz w:val="32"/>
          <w:szCs w:val="32"/>
        </w:rPr>
        <w:t>证明材料：承担单位获得的市级以上重要科技奖励证明等。</w:t>
      </w:r>
    </w:p>
    <w:p w14:paraId="700321D7">
      <w:pPr>
        <w:spacing w:line="560" w:lineRule="exact"/>
        <w:ind w:firstLine="643" w:firstLineChars="200"/>
        <w:rPr>
          <w:rFonts w:eastAsia="仿宋_GB2312"/>
          <w:sz w:val="32"/>
          <w:szCs w:val="32"/>
        </w:rPr>
      </w:pPr>
      <w:r>
        <w:rPr>
          <w:rFonts w:eastAsia="仿宋_GB2312"/>
          <w:b/>
          <w:bCs/>
          <w:sz w:val="32"/>
          <w:szCs w:val="32"/>
        </w:rPr>
        <w:t>1</w:t>
      </w:r>
      <w:r>
        <w:rPr>
          <w:rFonts w:hint="eastAsia" w:eastAsia="仿宋_GB2312"/>
          <w:b/>
          <w:bCs/>
          <w:sz w:val="32"/>
          <w:szCs w:val="32"/>
        </w:rPr>
        <w:t>7</w:t>
      </w:r>
      <w:r>
        <w:rPr>
          <w:rFonts w:eastAsia="仿宋_GB2312"/>
          <w:b/>
          <w:bCs/>
          <w:sz w:val="32"/>
          <w:szCs w:val="32"/>
        </w:rPr>
        <w:t>.</w:t>
      </w:r>
      <w:r>
        <w:rPr>
          <w:b/>
          <w:bCs/>
        </w:rPr>
        <w:t xml:space="preserve"> </w:t>
      </w:r>
      <w:r>
        <w:rPr>
          <w:rFonts w:eastAsia="仿宋_GB2312"/>
          <w:b/>
          <w:bCs/>
          <w:sz w:val="32"/>
          <w:szCs w:val="32"/>
        </w:rPr>
        <w:t>承担单位近三年主持和参加制定的国际、国家、行业和地方标准数：</w:t>
      </w:r>
      <w:r>
        <w:rPr>
          <w:rFonts w:eastAsia="仿宋_GB2312"/>
          <w:sz w:val="32"/>
          <w:szCs w:val="32"/>
        </w:rPr>
        <w:t>指承担单位在报告年度、报告年度前一年、报告年度前二年主持或参加制定，目前仍有效执行的国际、国家、行业和地方标准的数量。</w:t>
      </w:r>
    </w:p>
    <w:p w14:paraId="40AD37ED">
      <w:pPr>
        <w:spacing w:line="560" w:lineRule="exact"/>
        <w:ind w:firstLine="640" w:firstLineChars="200"/>
        <w:rPr>
          <w:rFonts w:eastAsia="仿宋_GB2312"/>
          <w:b/>
          <w:bCs/>
          <w:sz w:val="32"/>
          <w:szCs w:val="32"/>
        </w:rPr>
      </w:pPr>
      <w:r>
        <w:rPr>
          <w:rFonts w:eastAsia="仿宋_GB2312"/>
          <w:sz w:val="32"/>
          <w:szCs w:val="32"/>
        </w:rPr>
        <w:t>证明材料：主持和参与制定国际、国家和行业标准的证明等。</w:t>
      </w:r>
    </w:p>
    <w:p w14:paraId="39606BC6">
      <w:pPr>
        <w:spacing w:line="560" w:lineRule="exact"/>
        <w:ind w:firstLine="643" w:firstLineChars="200"/>
        <w:rPr>
          <w:rFonts w:eastAsia="仿宋_GB2312"/>
          <w:sz w:val="32"/>
          <w:szCs w:val="32"/>
        </w:rPr>
      </w:pPr>
      <w:r>
        <w:rPr>
          <w:rFonts w:eastAsia="仿宋_GB2312"/>
          <w:b/>
          <w:bCs/>
          <w:sz w:val="32"/>
          <w:szCs w:val="32"/>
        </w:rPr>
        <w:t>1</w:t>
      </w:r>
      <w:r>
        <w:rPr>
          <w:rFonts w:hint="eastAsia" w:eastAsia="仿宋_GB2312"/>
          <w:b/>
          <w:bCs/>
          <w:sz w:val="32"/>
          <w:szCs w:val="32"/>
        </w:rPr>
        <w:t>8</w:t>
      </w:r>
      <w:r>
        <w:rPr>
          <w:rFonts w:eastAsia="仿宋_GB2312"/>
          <w:b/>
          <w:bCs/>
          <w:sz w:val="32"/>
          <w:szCs w:val="32"/>
        </w:rPr>
        <w:t>. 报告年度工程研究中心获得的技术性收入：</w:t>
      </w:r>
      <w:r>
        <w:rPr>
          <w:rFonts w:eastAsia="仿宋_GB2312"/>
          <w:sz w:val="32"/>
          <w:szCs w:val="32"/>
        </w:rPr>
        <w:t>报告年度内，工程研究中心通过研发和技术创新活动取得的收入总和，包括技术转让收入（指工程研究中心技术创新成果通过技术贸易、技术转让所获得的收入）、技术服务收入（指工程研究中心利用自有资源为外部用户提供技术资料、技术咨询与市场评估、工程技术项目设计、数据处理、测试分析及其他类型的服务所获得的收入）和接受委托研究开发收入（指工程研究中心承担社会各方面委托研究开发、中间试验及新产品开发所获得的收入）。</w:t>
      </w:r>
    </w:p>
    <w:p w14:paraId="5C58242A">
      <w:pPr>
        <w:spacing w:line="560" w:lineRule="exact"/>
        <w:ind w:firstLine="640" w:firstLineChars="200"/>
        <w:rPr>
          <w:rFonts w:eastAsia="仿宋_GB2312"/>
          <w:sz w:val="32"/>
          <w:szCs w:val="32"/>
        </w:rPr>
      </w:pPr>
      <w:r>
        <w:rPr>
          <w:rFonts w:eastAsia="仿宋_GB2312"/>
          <w:sz w:val="32"/>
          <w:szCs w:val="32"/>
        </w:rPr>
        <w:t>证明材料：技术转让收入合同、技术使用收入合同、技术服务收入合同、接受委托研究开发合同的扫描件。按类型顺序依次排列。</w:t>
      </w:r>
    </w:p>
    <w:p w14:paraId="4D009ACD">
      <w:pPr>
        <w:spacing w:line="560" w:lineRule="exact"/>
        <w:ind w:firstLine="643" w:firstLineChars="200"/>
        <w:rPr>
          <w:rFonts w:eastAsia="仿宋_GB2312"/>
          <w:sz w:val="32"/>
          <w:szCs w:val="32"/>
        </w:rPr>
      </w:pPr>
      <w:r>
        <w:rPr>
          <w:rFonts w:hint="eastAsia" w:eastAsia="仿宋_GB2312"/>
          <w:b/>
          <w:bCs/>
          <w:sz w:val="32"/>
          <w:szCs w:val="32"/>
        </w:rPr>
        <w:t>19</w:t>
      </w:r>
      <w:r>
        <w:rPr>
          <w:rFonts w:eastAsia="仿宋_GB2312"/>
          <w:b/>
          <w:bCs/>
          <w:sz w:val="32"/>
          <w:szCs w:val="32"/>
        </w:rPr>
        <w:t>.</w:t>
      </w:r>
      <w:r>
        <w:rPr>
          <w:b/>
          <w:bCs/>
        </w:rPr>
        <w:t xml:space="preserve"> </w:t>
      </w:r>
      <w:r>
        <w:rPr>
          <w:rFonts w:eastAsia="仿宋_GB2312"/>
          <w:b/>
          <w:bCs/>
          <w:sz w:val="32"/>
          <w:szCs w:val="32"/>
        </w:rPr>
        <w:t>报告年度工程研究中心成果产业化形成的经济效益：</w:t>
      </w:r>
      <w:r>
        <w:rPr>
          <w:rFonts w:eastAsia="仿宋_GB2312"/>
          <w:sz w:val="32"/>
          <w:szCs w:val="32"/>
        </w:rPr>
        <w:t>报告年度内，采用工程研究中心科研成果生产的产品实现的销售收入。</w:t>
      </w:r>
    </w:p>
    <w:p w14:paraId="54D69796">
      <w:pPr>
        <w:spacing w:line="560" w:lineRule="exact"/>
        <w:ind w:firstLine="640" w:firstLineChars="200"/>
        <w:rPr>
          <w:rFonts w:eastAsia="仿宋_GB2312"/>
          <w:sz w:val="32"/>
          <w:szCs w:val="32"/>
        </w:rPr>
      </w:pPr>
      <w:r>
        <w:rPr>
          <w:rFonts w:eastAsia="仿宋_GB2312"/>
          <w:sz w:val="32"/>
          <w:szCs w:val="32"/>
        </w:rPr>
        <w:t>证明材料：科研成果产业化合同及销售产品实现的销售收入证明材料等。直接在工程研究中心承担单位产业化的也可提供能证明科研成果由工程研究中心取得的其他证明材料，代替产业化合同。</w:t>
      </w:r>
    </w:p>
    <w:p w14:paraId="31E02213">
      <w:pPr>
        <w:spacing w:line="560" w:lineRule="exact"/>
        <w:ind w:firstLine="643" w:firstLineChars="200"/>
        <w:rPr>
          <w:rFonts w:eastAsia="仿宋_GB2312"/>
          <w:sz w:val="32"/>
          <w:szCs w:val="32"/>
        </w:rPr>
      </w:pPr>
      <w:r>
        <w:rPr>
          <w:rFonts w:eastAsia="仿宋_GB2312"/>
          <w:b/>
          <w:bCs/>
          <w:sz w:val="32"/>
          <w:szCs w:val="32"/>
        </w:rPr>
        <w:t>2</w:t>
      </w:r>
      <w:r>
        <w:rPr>
          <w:rFonts w:hint="eastAsia" w:eastAsia="仿宋_GB2312"/>
          <w:b/>
          <w:bCs/>
          <w:sz w:val="32"/>
          <w:szCs w:val="32"/>
        </w:rPr>
        <w:t>0</w:t>
      </w:r>
      <w:r>
        <w:rPr>
          <w:rFonts w:eastAsia="仿宋_GB2312"/>
          <w:b/>
          <w:bCs/>
          <w:sz w:val="32"/>
          <w:szCs w:val="32"/>
        </w:rPr>
        <w:t>.</w:t>
      </w:r>
      <w:r>
        <w:rPr>
          <w:b/>
          <w:bCs/>
        </w:rPr>
        <w:t xml:space="preserve"> </w:t>
      </w:r>
      <w:r>
        <w:rPr>
          <w:rFonts w:eastAsia="仿宋_GB2312"/>
          <w:b/>
          <w:bCs/>
          <w:sz w:val="32"/>
          <w:szCs w:val="32"/>
        </w:rPr>
        <w:t>申报年度工程研究中心引进海外高层次人才数量：</w:t>
      </w:r>
      <w:r>
        <w:rPr>
          <w:rFonts w:eastAsia="仿宋_GB2312"/>
          <w:sz w:val="32"/>
          <w:szCs w:val="32"/>
        </w:rPr>
        <w:t>申报年度内</w:t>
      </w:r>
      <w:r>
        <w:rPr>
          <w:rFonts w:eastAsia="楷体_GB2312"/>
          <w:sz w:val="28"/>
          <w:szCs w:val="32"/>
        </w:rPr>
        <w:t>（202</w:t>
      </w:r>
      <w:r>
        <w:rPr>
          <w:rFonts w:hint="eastAsia" w:eastAsia="楷体_GB2312"/>
          <w:sz w:val="28"/>
          <w:szCs w:val="32"/>
        </w:rPr>
        <w:t>4</w:t>
      </w:r>
      <w:r>
        <w:rPr>
          <w:rFonts w:eastAsia="楷体_GB2312"/>
          <w:sz w:val="28"/>
          <w:szCs w:val="32"/>
        </w:rPr>
        <w:t>年1月-12月）</w:t>
      </w:r>
      <w:r>
        <w:rPr>
          <w:rFonts w:eastAsia="仿宋_GB2312"/>
          <w:sz w:val="32"/>
          <w:szCs w:val="32"/>
        </w:rPr>
        <w:t>，工程研究中心从国（境）外已引进或拟引进的全职来华（回国）高层次专业技术人才数量。相关人才科研方向应属于世界科技前沿，符合国家经济和社会发展重大需求，且原则上取得博士学位并在海外著名高校、科研机构担任相当于副教授及以上职务或在国际知名企业担任高级职务。</w:t>
      </w:r>
    </w:p>
    <w:p w14:paraId="18679F02">
      <w:pPr>
        <w:spacing w:line="560" w:lineRule="exact"/>
        <w:ind w:firstLine="640" w:firstLineChars="200"/>
        <w:rPr>
          <w:rFonts w:eastAsia="黑体"/>
          <w:color w:val="000000"/>
          <w:kern w:val="0"/>
          <w:sz w:val="32"/>
          <w:szCs w:val="32"/>
        </w:rPr>
      </w:pPr>
      <w:r>
        <w:rPr>
          <w:rFonts w:eastAsia="仿宋_GB2312"/>
          <w:sz w:val="32"/>
          <w:szCs w:val="32"/>
        </w:rPr>
        <w:t>证明材料：博士学位证书、职务或职称证书、海外任职证明材料、与承担单位签订的劳动合同或聘用协议（已引进人才提供）、科研成果或获奖证书以及主持（参与）的重大项目课题立项或任务书等相关证明文件。</w:t>
      </w:r>
      <w:r>
        <w:rPr>
          <w:rFonts w:eastAsia="黑体"/>
          <w:color w:val="000000"/>
          <w:kern w:val="0"/>
          <w:sz w:val="32"/>
          <w:szCs w:val="32"/>
        </w:rPr>
        <w:br w:type="page"/>
      </w:r>
      <w:r>
        <w:rPr>
          <w:rFonts w:eastAsia="黑体"/>
          <w:color w:val="000000"/>
          <w:kern w:val="0"/>
          <w:sz w:val="32"/>
          <w:szCs w:val="32"/>
        </w:rPr>
        <w:t>附件6</w:t>
      </w:r>
    </w:p>
    <w:p w14:paraId="0DEAB90A">
      <w:pPr>
        <w:widowControl/>
        <w:spacing w:line="288" w:lineRule="atLeast"/>
        <w:rPr>
          <w:color w:val="000000"/>
          <w:kern w:val="0"/>
          <w:sz w:val="44"/>
          <w:szCs w:val="44"/>
        </w:rPr>
      </w:pPr>
    </w:p>
    <w:p w14:paraId="0DEB733B">
      <w:pPr>
        <w:widowControl/>
        <w:spacing w:line="288" w:lineRule="atLeast"/>
        <w:jc w:val="center"/>
        <w:rPr>
          <w:rFonts w:eastAsia="方正小标宋_GBK"/>
          <w:color w:val="000000"/>
          <w:kern w:val="0"/>
          <w:sz w:val="44"/>
          <w:szCs w:val="44"/>
        </w:rPr>
      </w:pPr>
      <w:r>
        <w:rPr>
          <w:rFonts w:eastAsia="方正小标宋_GBK"/>
          <w:color w:val="000000"/>
          <w:kern w:val="0"/>
          <w:sz w:val="44"/>
          <w:szCs w:val="44"/>
        </w:rPr>
        <w:t>真实性承诺（样式）</w:t>
      </w:r>
    </w:p>
    <w:p w14:paraId="30A2ECA3">
      <w:pPr>
        <w:widowControl/>
        <w:spacing w:line="288" w:lineRule="atLeast"/>
        <w:rPr>
          <w:color w:val="000000"/>
          <w:kern w:val="0"/>
          <w:sz w:val="44"/>
          <w:szCs w:val="44"/>
        </w:rPr>
      </w:pPr>
    </w:p>
    <w:p w14:paraId="52627C24">
      <w:pPr>
        <w:widowControl/>
        <w:spacing w:line="288" w:lineRule="atLeast"/>
        <w:ind w:firstLine="640" w:firstLineChars="200"/>
        <w:rPr>
          <w:rFonts w:eastAsia="仿宋_GB2312"/>
          <w:color w:val="000000"/>
          <w:kern w:val="0"/>
          <w:sz w:val="32"/>
          <w:szCs w:val="32"/>
        </w:rPr>
      </w:pPr>
      <w:r>
        <w:rPr>
          <w:rFonts w:eastAsia="仿宋_GB2312"/>
          <w:color w:val="000000"/>
          <w:kern w:val="0"/>
          <w:sz w:val="32"/>
          <w:szCs w:val="32"/>
        </w:rPr>
        <w:t>我单位承诺：在参加青岛市工程研究中心申报时，提交的所有申报材料均真实、有效、合法。如有不实之处，愿负相应责任，并承担由此产生的一切后果。</w:t>
      </w:r>
    </w:p>
    <w:p w14:paraId="5486E291">
      <w:pPr>
        <w:widowControl/>
        <w:spacing w:line="288" w:lineRule="atLeast"/>
        <w:jc w:val="right"/>
        <w:rPr>
          <w:rFonts w:eastAsia="仿宋_GB2312"/>
          <w:color w:val="000000"/>
          <w:kern w:val="0"/>
          <w:sz w:val="32"/>
          <w:szCs w:val="32"/>
        </w:rPr>
      </w:pPr>
    </w:p>
    <w:p w14:paraId="7BF9316C">
      <w:pPr>
        <w:widowControl/>
        <w:spacing w:line="288" w:lineRule="atLeast"/>
        <w:jc w:val="right"/>
        <w:rPr>
          <w:rFonts w:eastAsia="仿宋_GB2312"/>
          <w:color w:val="000000"/>
          <w:kern w:val="0"/>
          <w:sz w:val="32"/>
          <w:szCs w:val="32"/>
        </w:rPr>
      </w:pPr>
      <w:r>
        <w:rPr>
          <w:color w:val="000000"/>
          <w:kern w:val="0"/>
          <w:sz w:val="32"/>
          <w:szCs w:val="32"/>
        </w:rPr>
        <w:t> </w:t>
      </w:r>
      <w:r>
        <w:rPr>
          <w:rFonts w:eastAsia="仿宋_GB2312"/>
          <w:color w:val="000000"/>
          <w:kern w:val="0"/>
          <w:sz w:val="32"/>
          <w:szCs w:val="32"/>
        </w:rPr>
        <w:t xml:space="preserve"> </w:t>
      </w:r>
      <w:r>
        <w:rPr>
          <w:color w:val="000000"/>
          <w:kern w:val="0"/>
          <w:sz w:val="32"/>
          <w:szCs w:val="32"/>
        </w:rPr>
        <w:t> </w:t>
      </w:r>
      <w:r>
        <w:rPr>
          <w:rFonts w:eastAsia="仿宋_GB2312"/>
          <w:color w:val="000000"/>
          <w:kern w:val="0"/>
          <w:sz w:val="32"/>
          <w:szCs w:val="32"/>
        </w:rPr>
        <w:t xml:space="preserve"> </w:t>
      </w:r>
      <w:r>
        <w:rPr>
          <w:color w:val="000000"/>
          <w:kern w:val="0"/>
          <w:sz w:val="32"/>
          <w:szCs w:val="32"/>
        </w:rPr>
        <w:t> </w:t>
      </w:r>
      <w:r>
        <w:rPr>
          <w:rFonts w:eastAsia="仿宋_GB2312"/>
          <w:color w:val="000000"/>
          <w:kern w:val="0"/>
          <w:sz w:val="32"/>
          <w:szCs w:val="32"/>
        </w:rPr>
        <w:t xml:space="preserve"> </w:t>
      </w:r>
      <w:r>
        <w:rPr>
          <w:color w:val="000000"/>
          <w:kern w:val="0"/>
          <w:sz w:val="32"/>
          <w:szCs w:val="32"/>
        </w:rPr>
        <w:t> </w:t>
      </w:r>
      <w:r>
        <w:rPr>
          <w:rFonts w:eastAsia="仿宋_GB2312"/>
          <w:color w:val="000000"/>
          <w:kern w:val="0"/>
          <w:sz w:val="32"/>
          <w:szCs w:val="32"/>
        </w:rPr>
        <w:t xml:space="preserve"> </w:t>
      </w:r>
      <w:r>
        <w:rPr>
          <w:color w:val="000000"/>
          <w:kern w:val="0"/>
          <w:sz w:val="32"/>
          <w:szCs w:val="32"/>
        </w:rPr>
        <w:t> </w:t>
      </w:r>
      <w:r>
        <w:rPr>
          <w:rFonts w:eastAsia="仿宋_GB2312"/>
          <w:color w:val="000000"/>
          <w:kern w:val="0"/>
          <w:sz w:val="32"/>
          <w:szCs w:val="32"/>
        </w:rPr>
        <w:t xml:space="preserve"> </w:t>
      </w:r>
      <w:r>
        <w:rPr>
          <w:color w:val="000000"/>
          <w:kern w:val="0"/>
          <w:sz w:val="32"/>
          <w:szCs w:val="32"/>
        </w:rPr>
        <w:t> </w:t>
      </w:r>
      <w:r>
        <w:rPr>
          <w:rFonts w:eastAsia="仿宋_GB2312"/>
          <w:color w:val="000000"/>
          <w:kern w:val="0"/>
          <w:sz w:val="32"/>
          <w:szCs w:val="32"/>
        </w:rPr>
        <w:t xml:space="preserve"> </w:t>
      </w:r>
      <w:r>
        <w:rPr>
          <w:color w:val="000000"/>
          <w:kern w:val="0"/>
          <w:sz w:val="32"/>
          <w:szCs w:val="32"/>
        </w:rPr>
        <w:t> </w:t>
      </w:r>
      <w:r>
        <w:rPr>
          <w:rFonts w:eastAsia="仿宋_GB2312"/>
          <w:color w:val="000000"/>
          <w:kern w:val="0"/>
          <w:sz w:val="32"/>
          <w:szCs w:val="32"/>
        </w:rPr>
        <w:t xml:space="preserve"> </w:t>
      </w:r>
      <w:r>
        <w:rPr>
          <w:color w:val="000000"/>
          <w:kern w:val="0"/>
          <w:sz w:val="32"/>
          <w:szCs w:val="32"/>
        </w:rPr>
        <w:t> </w:t>
      </w:r>
      <w:r>
        <w:rPr>
          <w:rFonts w:eastAsia="仿宋_GB2312"/>
          <w:color w:val="000000"/>
          <w:kern w:val="0"/>
          <w:sz w:val="32"/>
          <w:szCs w:val="32"/>
        </w:rPr>
        <w:t xml:space="preserve"> </w:t>
      </w:r>
      <w:r>
        <w:rPr>
          <w:color w:val="000000"/>
          <w:kern w:val="0"/>
          <w:sz w:val="32"/>
          <w:szCs w:val="32"/>
        </w:rPr>
        <w:t> </w:t>
      </w:r>
      <w:r>
        <w:rPr>
          <w:rFonts w:eastAsia="仿宋_GB2312"/>
          <w:color w:val="000000"/>
          <w:kern w:val="0"/>
          <w:sz w:val="32"/>
          <w:szCs w:val="32"/>
        </w:rPr>
        <w:t xml:space="preserve"> </w:t>
      </w:r>
      <w:r>
        <w:rPr>
          <w:color w:val="000000"/>
          <w:kern w:val="0"/>
          <w:sz w:val="32"/>
          <w:szCs w:val="32"/>
        </w:rPr>
        <w:t> </w:t>
      </w:r>
      <w:r>
        <w:rPr>
          <w:rFonts w:eastAsia="仿宋_GB2312"/>
          <w:color w:val="000000"/>
          <w:kern w:val="0"/>
          <w:sz w:val="32"/>
          <w:szCs w:val="32"/>
        </w:rPr>
        <w:t xml:space="preserve"> </w:t>
      </w:r>
      <w:r>
        <w:rPr>
          <w:color w:val="000000"/>
          <w:kern w:val="0"/>
          <w:sz w:val="32"/>
          <w:szCs w:val="32"/>
        </w:rPr>
        <w:t> </w:t>
      </w:r>
      <w:r>
        <w:rPr>
          <w:rFonts w:eastAsia="仿宋_GB2312"/>
          <w:color w:val="000000"/>
          <w:kern w:val="0"/>
          <w:sz w:val="32"/>
          <w:szCs w:val="32"/>
        </w:rPr>
        <w:t xml:space="preserve">  </w:t>
      </w:r>
      <w:r>
        <w:rPr>
          <w:color w:val="000000"/>
          <w:kern w:val="0"/>
          <w:sz w:val="32"/>
          <w:szCs w:val="32"/>
        </w:rPr>
        <w:t> </w:t>
      </w:r>
      <w:r>
        <w:rPr>
          <w:rFonts w:eastAsia="仿宋_GB2312"/>
          <w:color w:val="000000"/>
          <w:kern w:val="0"/>
          <w:sz w:val="32"/>
          <w:szCs w:val="32"/>
        </w:rPr>
        <w:t xml:space="preserve"> </w:t>
      </w:r>
      <w:r>
        <w:rPr>
          <w:color w:val="000000"/>
          <w:kern w:val="0"/>
          <w:sz w:val="32"/>
          <w:szCs w:val="32"/>
        </w:rPr>
        <w:t> </w:t>
      </w:r>
      <w:r>
        <w:rPr>
          <w:rFonts w:eastAsia="仿宋_GB2312"/>
          <w:color w:val="000000"/>
          <w:kern w:val="0"/>
          <w:sz w:val="32"/>
          <w:szCs w:val="32"/>
        </w:rPr>
        <w:t xml:space="preserve"> </w:t>
      </w:r>
      <w:r>
        <w:rPr>
          <w:color w:val="000000"/>
          <w:kern w:val="0"/>
          <w:sz w:val="32"/>
          <w:szCs w:val="32"/>
        </w:rPr>
        <w:t> </w:t>
      </w:r>
      <w:r>
        <w:rPr>
          <w:rFonts w:eastAsia="仿宋_GB2312"/>
          <w:color w:val="000000"/>
          <w:kern w:val="0"/>
          <w:sz w:val="32"/>
          <w:szCs w:val="32"/>
        </w:rPr>
        <w:t xml:space="preserve"> </w:t>
      </w:r>
      <w:r>
        <w:rPr>
          <w:color w:val="000000"/>
          <w:kern w:val="0"/>
          <w:sz w:val="32"/>
          <w:szCs w:val="32"/>
        </w:rPr>
        <w:t> </w:t>
      </w:r>
      <w:r>
        <w:rPr>
          <w:rFonts w:eastAsia="仿宋_GB2312"/>
          <w:color w:val="000000"/>
          <w:kern w:val="0"/>
          <w:sz w:val="32"/>
          <w:szCs w:val="32"/>
        </w:rPr>
        <w:t xml:space="preserve"> </w:t>
      </w:r>
      <w:r>
        <w:rPr>
          <w:color w:val="000000"/>
          <w:kern w:val="0"/>
          <w:sz w:val="32"/>
          <w:szCs w:val="32"/>
        </w:rPr>
        <w:t> </w:t>
      </w:r>
      <w:r>
        <w:rPr>
          <w:rFonts w:eastAsia="仿宋_GB2312"/>
          <w:color w:val="000000"/>
          <w:kern w:val="0"/>
          <w:sz w:val="32"/>
          <w:szCs w:val="32"/>
        </w:rPr>
        <w:t xml:space="preserve"> </w:t>
      </w:r>
      <w:r>
        <w:rPr>
          <w:color w:val="000000"/>
          <w:kern w:val="0"/>
          <w:sz w:val="32"/>
          <w:szCs w:val="32"/>
        </w:rPr>
        <w:t> </w:t>
      </w:r>
      <w:r>
        <w:rPr>
          <w:rFonts w:eastAsia="仿宋_GB2312"/>
          <w:color w:val="000000"/>
          <w:kern w:val="0"/>
          <w:sz w:val="32"/>
          <w:szCs w:val="32"/>
        </w:rPr>
        <w:t xml:space="preserve">   申报单位（盖章）  </w:t>
      </w:r>
    </w:p>
    <w:p w14:paraId="353B63AE">
      <w:pPr>
        <w:widowControl/>
        <w:wordWrap w:val="0"/>
        <w:spacing w:line="288" w:lineRule="atLeast"/>
        <w:jc w:val="right"/>
        <w:rPr>
          <w:rFonts w:eastAsia="仿宋_GB2312"/>
          <w:color w:val="000000"/>
          <w:kern w:val="0"/>
          <w:sz w:val="32"/>
          <w:szCs w:val="32"/>
        </w:rPr>
      </w:pPr>
      <w:r>
        <w:rPr>
          <w:color w:val="000000"/>
          <w:kern w:val="0"/>
          <w:sz w:val="32"/>
          <w:szCs w:val="32"/>
        </w:rPr>
        <w:t> </w:t>
      </w:r>
      <w:r>
        <w:rPr>
          <w:rFonts w:eastAsia="仿宋_GB2312"/>
          <w:color w:val="000000"/>
          <w:kern w:val="0"/>
          <w:sz w:val="32"/>
          <w:szCs w:val="32"/>
        </w:rPr>
        <w:t xml:space="preserve"> </w:t>
      </w:r>
      <w:r>
        <w:rPr>
          <w:color w:val="000000"/>
          <w:kern w:val="0"/>
          <w:sz w:val="32"/>
          <w:szCs w:val="32"/>
        </w:rPr>
        <w:t> </w:t>
      </w:r>
      <w:r>
        <w:rPr>
          <w:rFonts w:eastAsia="仿宋_GB2312"/>
          <w:color w:val="000000"/>
          <w:kern w:val="0"/>
          <w:sz w:val="32"/>
          <w:szCs w:val="32"/>
        </w:rPr>
        <w:t xml:space="preserve"> </w:t>
      </w:r>
      <w:r>
        <w:rPr>
          <w:color w:val="000000"/>
          <w:kern w:val="0"/>
          <w:sz w:val="32"/>
          <w:szCs w:val="32"/>
        </w:rPr>
        <w:t> </w:t>
      </w:r>
      <w:r>
        <w:rPr>
          <w:rFonts w:eastAsia="仿宋_GB2312"/>
          <w:color w:val="000000"/>
          <w:kern w:val="0"/>
          <w:sz w:val="32"/>
          <w:szCs w:val="32"/>
        </w:rPr>
        <w:t xml:space="preserve"> </w:t>
      </w:r>
      <w:r>
        <w:rPr>
          <w:color w:val="000000"/>
          <w:kern w:val="0"/>
          <w:sz w:val="32"/>
          <w:szCs w:val="32"/>
        </w:rPr>
        <w:t> </w:t>
      </w:r>
      <w:r>
        <w:rPr>
          <w:rFonts w:eastAsia="仿宋_GB2312"/>
          <w:color w:val="000000"/>
          <w:kern w:val="0"/>
          <w:sz w:val="32"/>
          <w:szCs w:val="32"/>
        </w:rPr>
        <w:t xml:space="preserve"> </w:t>
      </w:r>
      <w:r>
        <w:rPr>
          <w:color w:val="000000"/>
          <w:kern w:val="0"/>
          <w:sz w:val="32"/>
          <w:szCs w:val="32"/>
        </w:rPr>
        <w:t> </w:t>
      </w:r>
      <w:r>
        <w:rPr>
          <w:rFonts w:eastAsia="仿宋_GB2312"/>
          <w:color w:val="000000"/>
          <w:kern w:val="0"/>
          <w:sz w:val="32"/>
          <w:szCs w:val="32"/>
        </w:rPr>
        <w:t xml:space="preserve"> </w:t>
      </w:r>
      <w:r>
        <w:rPr>
          <w:color w:val="000000"/>
          <w:kern w:val="0"/>
          <w:sz w:val="32"/>
          <w:szCs w:val="32"/>
        </w:rPr>
        <w:t> </w:t>
      </w:r>
      <w:r>
        <w:rPr>
          <w:rFonts w:eastAsia="仿宋_GB2312"/>
          <w:color w:val="000000"/>
          <w:kern w:val="0"/>
          <w:sz w:val="32"/>
          <w:szCs w:val="32"/>
        </w:rPr>
        <w:t xml:space="preserve"> </w:t>
      </w:r>
      <w:r>
        <w:rPr>
          <w:color w:val="000000"/>
          <w:kern w:val="0"/>
          <w:sz w:val="32"/>
          <w:szCs w:val="32"/>
        </w:rPr>
        <w:t> </w:t>
      </w:r>
      <w:r>
        <w:rPr>
          <w:rFonts w:eastAsia="仿宋_GB2312"/>
          <w:color w:val="000000"/>
          <w:kern w:val="0"/>
          <w:sz w:val="32"/>
          <w:szCs w:val="32"/>
        </w:rPr>
        <w:t xml:space="preserve"> </w:t>
      </w:r>
      <w:r>
        <w:rPr>
          <w:color w:val="000000"/>
          <w:kern w:val="0"/>
          <w:sz w:val="32"/>
          <w:szCs w:val="32"/>
        </w:rPr>
        <w:t> </w:t>
      </w:r>
      <w:r>
        <w:rPr>
          <w:rFonts w:eastAsia="仿宋_GB2312"/>
          <w:color w:val="000000"/>
          <w:kern w:val="0"/>
          <w:sz w:val="32"/>
          <w:szCs w:val="32"/>
        </w:rPr>
        <w:t xml:space="preserve"> </w:t>
      </w:r>
      <w:r>
        <w:rPr>
          <w:color w:val="000000"/>
          <w:kern w:val="0"/>
          <w:sz w:val="32"/>
          <w:szCs w:val="32"/>
        </w:rPr>
        <w:t> </w:t>
      </w:r>
      <w:r>
        <w:rPr>
          <w:rFonts w:eastAsia="仿宋_GB2312"/>
          <w:color w:val="000000"/>
          <w:kern w:val="0"/>
          <w:sz w:val="32"/>
          <w:szCs w:val="32"/>
        </w:rPr>
        <w:t xml:space="preserve">  </w:t>
      </w:r>
      <w:r>
        <w:rPr>
          <w:color w:val="000000"/>
          <w:kern w:val="0"/>
          <w:sz w:val="32"/>
          <w:szCs w:val="32"/>
        </w:rPr>
        <w:t> </w:t>
      </w:r>
      <w:r>
        <w:rPr>
          <w:rFonts w:eastAsia="仿宋_GB2312"/>
          <w:color w:val="000000"/>
          <w:kern w:val="0"/>
          <w:sz w:val="32"/>
          <w:szCs w:val="32"/>
        </w:rPr>
        <w:t xml:space="preserve"> </w:t>
      </w:r>
      <w:r>
        <w:rPr>
          <w:color w:val="000000"/>
          <w:kern w:val="0"/>
          <w:sz w:val="32"/>
          <w:szCs w:val="32"/>
        </w:rPr>
        <w:t> </w:t>
      </w:r>
      <w:r>
        <w:rPr>
          <w:rFonts w:eastAsia="仿宋_GB2312"/>
          <w:color w:val="000000"/>
          <w:kern w:val="0"/>
          <w:sz w:val="32"/>
          <w:szCs w:val="32"/>
        </w:rPr>
        <w:t xml:space="preserve"> </w:t>
      </w:r>
      <w:r>
        <w:rPr>
          <w:color w:val="000000"/>
          <w:kern w:val="0"/>
          <w:sz w:val="32"/>
          <w:szCs w:val="32"/>
        </w:rPr>
        <w:t> </w:t>
      </w:r>
      <w:r>
        <w:rPr>
          <w:rFonts w:eastAsia="仿宋_GB2312"/>
          <w:color w:val="000000"/>
          <w:kern w:val="0"/>
          <w:sz w:val="32"/>
          <w:szCs w:val="32"/>
        </w:rPr>
        <w:t xml:space="preserve">年 </w:t>
      </w:r>
      <w:r>
        <w:rPr>
          <w:color w:val="000000"/>
          <w:kern w:val="0"/>
          <w:sz w:val="32"/>
          <w:szCs w:val="32"/>
        </w:rPr>
        <w:t> </w:t>
      </w:r>
      <w:r>
        <w:rPr>
          <w:rFonts w:eastAsia="仿宋_GB2312"/>
          <w:color w:val="000000"/>
          <w:kern w:val="0"/>
          <w:sz w:val="32"/>
          <w:szCs w:val="32"/>
        </w:rPr>
        <w:t xml:space="preserve"> 月 </w:t>
      </w:r>
      <w:r>
        <w:rPr>
          <w:color w:val="000000"/>
          <w:kern w:val="0"/>
          <w:sz w:val="32"/>
          <w:szCs w:val="32"/>
        </w:rPr>
        <w:t> </w:t>
      </w:r>
      <w:r>
        <w:rPr>
          <w:rFonts w:eastAsia="仿宋_GB2312"/>
          <w:color w:val="000000"/>
          <w:kern w:val="0"/>
          <w:sz w:val="32"/>
          <w:szCs w:val="32"/>
        </w:rPr>
        <w:t xml:space="preserve"> 日  </w:t>
      </w:r>
    </w:p>
    <w:p w14:paraId="55124430">
      <w:pPr>
        <w:spacing w:line="560" w:lineRule="exact"/>
        <w:rPr>
          <w:rFonts w:hint="eastAsia"/>
        </w:rPr>
      </w:pPr>
    </w:p>
    <w:p w14:paraId="3D21A38F">
      <w:pPr>
        <w:spacing w:line="560" w:lineRule="exact"/>
        <w:rPr>
          <w:rFonts w:hint="eastAsia"/>
        </w:rPr>
      </w:pPr>
    </w:p>
    <w:p w14:paraId="482EC375">
      <w:pPr>
        <w:spacing w:line="560" w:lineRule="exact"/>
        <w:rPr>
          <w:rFonts w:hint="eastAsia"/>
        </w:rPr>
      </w:pPr>
    </w:p>
    <w:p w14:paraId="4DE65F70">
      <w:pPr>
        <w:spacing w:line="560" w:lineRule="exact"/>
        <w:rPr>
          <w:rFonts w:hint="eastAsia"/>
        </w:rPr>
      </w:pPr>
    </w:p>
    <w:p w14:paraId="0C887112">
      <w:pPr>
        <w:spacing w:line="560" w:lineRule="exact"/>
        <w:rPr>
          <w:rFonts w:hint="eastAsia"/>
        </w:rPr>
      </w:pPr>
    </w:p>
    <w:p w14:paraId="09FCE21F">
      <w:pPr>
        <w:spacing w:line="560" w:lineRule="exact"/>
        <w:rPr>
          <w:rFonts w:hint="eastAsia"/>
        </w:rPr>
      </w:pPr>
    </w:p>
    <w:p w14:paraId="1A9EE160">
      <w:pPr>
        <w:spacing w:line="560" w:lineRule="exact"/>
        <w:rPr>
          <w:rFonts w:hint="eastAsia"/>
        </w:rPr>
      </w:pPr>
    </w:p>
    <w:p w14:paraId="4D0E816B">
      <w:pPr>
        <w:spacing w:line="560" w:lineRule="exact"/>
        <w:rPr>
          <w:rFonts w:hint="eastAsia"/>
        </w:rPr>
      </w:pPr>
    </w:p>
    <w:p w14:paraId="6926001A">
      <w:pPr>
        <w:spacing w:line="560" w:lineRule="exact"/>
        <w:rPr>
          <w:rFonts w:hint="eastAsia"/>
        </w:rPr>
      </w:pPr>
    </w:p>
    <w:p w14:paraId="0FAF8F7A">
      <w:pPr>
        <w:spacing w:line="560" w:lineRule="exact"/>
        <w:rPr>
          <w:rFonts w:hint="eastAsia"/>
        </w:rPr>
      </w:pPr>
    </w:p>
    <w:p w14:paraId="2C62F43D">
      <w:pPr>
        <w:spacing w:line="560" w:lineRule="exact"/>
        <w:rPr>
          <w:rFonts w:hint="eastAsia"/>
        </w:rPr>
      </w:pPr>
    </w:p>
    <w:p w14:paraId="7137E5E4">
      <w:pPr>
        <w:spacing w:line="560" w:lineRule="exact"/>
        <w:sectPr>
          <w:footerReference r:id="rId3" w:type="default"/>
          <w:pgSz w:w="11906" w:h="16838"/>
          <w:pgMar w:top="2098" w:right="1474" w:bottom="1985" w:left="1588" w:header="851" w:footer="992" w:gutter="0"/>
          <w:cols w:space="720" w:num="1"/>
          <w:docGrid w:type="lines" w:linePitch="312" w:charSpace="0"/>
        </w:sectPr>
      </w:pPr>
    </w:p>
    <w:tbl>
      <w:tblPr>
        <w:tblStyle w:val="8"/>
        <w:tblpPr w:leftFromText="180" w:rightFromText="180" w:vertAnchor="page" w:horzAnchor="margin" w:tblpY="3561"/>
        <w:tblW w:w="13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2154"/>
        <w:gridCol w:w="2268"/>
        <w:gridCol w:w="1842"/>
        <w:gridCol w:w="1560"/>
        <w:gridCol w:w="1842"/>
        <w:gridCol w:w="1418"/>
        <w:gridCol w:w="1417"/>
      </w:tblGrid>
      <w:tr w14:paraId="1E8A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66" w:type="dxa"/>
            <w:tcBorders>
              <w:left w:val="single" w:color="auto" w:sz="4" w:space="0"/>
            </w:tcBorders>
            <w:vAlign w:val="center"/>
          </w:tcPr>
          <w:p w14:paraId="4A87648C">
            <w:pPr>
              <w:widowControl/>
              <w:jc w:val="center"/>
              <w:rPr>
                <w:rFonts w:eastAsia="黑体"/>
                <w:bCs/>
                <w:kern w:val="0"/>
                <w:sz w:val="24"/>
              </w:rPr>
            </w:pPr>
            <w:r>
              <w:rPr>
                <w:rFonts w:eastAsia="黑体"/>
                <w:bCs/>
                <w:kern w:val="0"/>
                <w:sz w:val="24"/>
              </w:rPr>
              <w:t>序号</w:t>
            </w:r>
          </w:p>
        </w:tc>
        <w:tc>
          <w:tcPr>
            <w:tcW w:w="2154" w:type="dxa"/>
            <w:vAlign w:val="center"/>
          </w:tcPr>
          <w:p w14:paraId="2D489833">
            <w:pPr>
              <w:widowControl/>
              <w:jc w:val="center"/>
              <w:rPr>
                <w:rFonts w:eastAsia="黑体"/>
                <w:bCs/>
                <w:kern w:val="0"/>
                <w:sz w:val="24"/>
              </w:rPr>
            </w:pPr>
            <w:r>
              <w:rPr>
                <w:rFonts w:eastAsia="黑体"/>
                <w:bCs/>
                <w:kern w:val="0"/>
                <w:sz w:val="24"/>
              </w:rPr>
              <w:t>申报平台名称</w:t>
            </w:r>
          </w:p>
        </w:tc>
        <w:tc>
          <w:tcPr>
            <w:tcW w:w="2268" w:type="dxa"/>
            <w:vAlign w:val="center"/>
          </w:tcPr>
          <w:p w14:paraId="3650B364">
            <w:pPr>
              <w:widowControl/>
              <w:jc w:val="center"/>
              <w:rPr>
                <w:rFonts w:eastAsia="黑体"/>
                <w:bCs/>
                <w:kern w:val="0"/>
                <w:sz w:val="24"/>
              </w:rPr>
            </w:pPr>
            <w:r>
              <w:rPr>
                <w:rFonts w:eastAsia="黑体"/>
                <w:bCs/>
                <w:kern w:val="0"/>
                <w:sz w:val="24"/>
              </w:rPr>
              <w:t>依托单位</w:t>
            </w:r>
          </w:p>
        </w:tc>
        <w:tc>
          <w:tcPr>
            <w:tcW w:w="1842" w:type="dxa"/>
            <w:vAlign w:val="center"/>
          </w:tcPr>
          <w:p w14:paraId="48C8E38A">
            <w:pPr>
              <w:widowControl/>
              <w:jc w:val="center"/>
              <w:rPr>
                <w:rFonts w:eastAsia="黑体"/>
                <w:bCs/>
                <w:kern w:val="0"/>
                <w:sz w:val="24"/>
              </w:rPr>
            </w:pPr>
            <w:r>
              <w:rPr>
                <w:rFonts w:eastAsia="黑体"/>
                <w:bCs/>
                <w:kern w:val="0"/>
                <w:sz w:val="24"/>
              </w:rPr>
              <w:t>所在区市</w:t>
            </w:r>
          </w:p>
        </w:tc>
        <w:tc>
          <w:tcPr>
            <w:tcW w:w="1560" w:type="dxa"/>
            <w:vAlign w:val="center"/>
          </w:tcPr>
          <w:p w14:paraId="1705A149">
            <w:pPr>
              <w:widowControl/>
              <w:jc w:val="center"/>
              <w:rPr>
                <w:rFonts w:eastAsia="黑体"/>
                <w:bCs/>
                <w:kern w:val="0"/>
                <w:sz w:val="24"/>
              </w:rPr>
            </w:pPr>
            <w:r>
              <w:rPr>
                <w:rFonts w:hint="eastAsia" w:eastAsia="黑体"/>
                <w:bCs/>
                <w:kern w:val="0"/>
                <w:sz w:val="24"/>
              </w:rPr>
              <w:t>共建单位</w:t>
            </w:r>
          </w:p>
        </w:tc>
        <w:tc>
          <w:tcPr>
            <w:tcW w:w="1842" w:type="dxa"/>
            <w:noWrap/>
            <w:vAlign w:val="center"/>
          </w:tcPr>
          <w:p w14:paraId="46309298">
            <w:pPr>
              <w:widowControl/>
              <w:jc w:val="center"/>
              <w:rPr>
                <w:rFonts w:eastAsia="黑体"/>
                <w:bCs/>
                <w:kern w:val="0"/>
                <w:sz w:val="24"/>
              </w:rPr>
            </w:pPr>
            <w:r>
              <w:rPr>
                <w:rFonts w:eastAsia="黑体"/>
                <w:bCs/>
                <w:kern w:val="0"/>
                <w:sz w:val="24"/>
              </w:rPr>
              <w:t>所属战略性新兴产业领域</w:t>
            </w:r>
          </w:p>
        </w:tc>
        <w:tc>
          <w:tcPr>
            <w:tcW w:w="1418" w:type="dxa"/>
            <w:vAlign w:val="center"/>
          </w:tcPr>
          <w:p w14:paraId="70EE32D5">
            <w:pPr>
              <w:widowControl/>
              <w:jc w:val="center"/>
              <w:rPr>
                <w:rFonts w:eastAsia="黑体"/>
                <w:bCs/>
                <w:kern w:val="0"/>
                <w:sz w:val="24"/>
              </w:rPr>
            </w:pPr>
            <w:r>
              <w:rPr>
                <w:rFonts w:eastAsia="黑体"/>
                <w:bCs/>
                <w:kern w:val="0"/>
                <w:sz w:val="24"/>
              </w:rPr>
              <w:t>联系人</w:t>
            </w:r>
          </w:p>
        </w:tc>
        <w:tc>
          <w:tcPr>
            <w:tcW w:w="1417" w:type="dxa"/>
            <w:tcBorders>
              <w:right w:val="single" w:color="auto" w:sz="4" w:space="0"/>
            </w:tcBorders>
            <w:vAlign w:val="center"/>
          </w:tcPr>
          <w:p w14:paraId="1B7CF73F">
            <w:pPr>
              <w:widowControl/>
              <w:jc w:val="center"/>
              <w:rPr>
                <w:rFonts w:eastAsia="黑体"/>
                <w:bCs/>
                <w:kern w:val="0"/>
                <w:sz w:val="24"/>
              </w:rPr>
            </w:pPr>
            <w:r>
              <w:rPr>
                <w:rFonts w:eastAsia="黑体"/>
                <w:bCs/>
                <w:kern w:val="0"/>
                <w:sz w:val="24"/>
              </w:rPr>
              <w:t>联系方式</w:t>
            </w:r>
          </w:p>
        </w:tc>
      </w:tr>
      <w:tr w14:paraId="53DA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966" w:type="dxa"/>
            <w:tcBorders>
              <w:left w:val="single" w:color="auto" w:sz="4" w:space="0"/>
            </w:tcBorders>
            <w:noWrap/>
            <w:vAlign w:val="center"/>
          </w:tcPr>
          <w:p w14:paraId="71A6C037">
            <w:pPr>
              <w:widowControl/>
              <w:jc w:val="center"/>
              <w:rPr>
                <w:rFonts w:eastAsia="仿宋_GB2312"/>
                <w:kern w:val="0"/>
                <w:sz w:val="18"/>
                <w:szCs w:val="18"/>
              </w:rPr>
            </w:pPr>
          </w:p>
        </w:tc>
        <w:tc>
          <w:tcPr>
            <w:tcW w:w="2154" w:type="dxa"/>
            <w:noWrap/>
            <w:vAlign w:val="center"/>
          </w:tcPr>
          <w:p w14:paraId="4161D7FA">
            <w:pPr>
              <w:widowControl/>
              <w:jc w:val="center"/>
              <w:rPr>
                <w:rFonts w:eastAsia="仿宋_GB2312"/>
                <w:kern w:val="0"/>
                <w:sz w:val="18"/>
                <w:szCs w:val="18"/>
              </w:rPr>
            </w:pPr>
          </w:p>
        </w:tc>
        <w:tc>
          <w:tcPr>
            <w:tcW w:w="2268" w:type="dxa"/>
            <w:noWrap/>
            <w:vAlign w:val="center"/>
          </w:tcPr>
          <w:p w14:paraId="72855EE5">
            <w:pPr>
              <w:widowControl/>
              <w:jc w:val="center"/>
              <w:rPr>
                <w:rFonts w:eastAsia="仿宋_GB2312"/>
                <w:kern w:val="0"/>
                <w:sz w:val="18"/>
                <w:szCs w:val="18"/>
              </w:rPr>
            </w:pPr>
          </w:p>
        </w:tc>
        <w:tc>
          <w:tcPr>
            <w:tcW w:w="1842" w:type="dxa"/>
            <w:vAlign w:val="center"/>
          </w:tcPr>
          <w:p w14:paraId="5EDB01DD">
            <w:pPr>
              <w:widowControl/>
              <w:jc w:val="center"/>
              <w:rPr>
                <w:rFonts w:eastAsia="仿宋_GB2312"/>
                <w:kern w:val="0"/>
                <w:szCs w:val="18"/>
              </w:rPr>
            </w:pPr>
          </w:p>
        </w:tc>
        <w:tc>
          <w:tcPr>
            <w:tcW w:w="1560" w:type="dxa"/>
            <w:vAlign w:val="center"/>
          </w:tcPr>
          <w:p w14:paraId="31A3C3B9">
            <w:pPr>
              <w:widowControl/>
              <w:jc w:val="center"/>
              <w:rPr>
                <w:rFonts w:eastAsia="仿宋_GB2312"/>
                <w:kern w:val="0"/>
                <w:szCs w:val="18"/>
              </w:rPr>
            </w:pPr>
          </w:p>
        </w:tc>
        <w:tc>
          <w:tcPr>
            <w:tcW w:w="1842" w:type="dxa"/>
            <w:vAlign w:val="center"/>
          </w:tcPr>
          <w:p w14:paraId="6AAF8891">
            <w:pPr>
              <w:widowControl/>
              <w:jc w:val="center"/>
              <w:rPr>
                <w:rFonts w:eastAsia="仿宋_GB2312"/>
                <w:kern w:val="0"/>
                <w:szCs w:val="18"/>
              </w:rPr>
            </w:pPr>
          </w:p>
        </w:tc>
        <w:tc>
          <w:tcPr>
            <w:tcW w:w="1418" w:type="dxa"/>
            <w:vAlign w:val="center"/>
          </w:tcPr>
          <w:p w14:paraId="3DAC6DDA">
            <w:pPr>
              <w:widowControl/>
              <w:jc w:val="center"/>
              <w:rPr>
                <w:rFonts w:eastAsia="仿宋_GB2312"/>
                <w:kern w:val="0"/>
                <w:szCs w:val="18"/>
              </w:rPr>
            </w:pPr>
          </w:p>
        </w:tc>
        <w:tc>
          <w:tcPr>
            <w:tcW w:w="1417" w:type="dxa"/>
            <w:tcBorders>
              <w:right w:val="single" w:color="auto" w:sz="4" w:space="0"/>
            </w:tcBorders>
            <w:vAlign w:val="center"/>
          </w:tcPr>
          <w:p w14:paraId="41D13462">
            <w:pPr>
              <w:widowControl/>
              <w:jc w:val="center"/>
              <w:rPr>
                <w:rFonts w:eastAsia="仿宋_GB2312"/>
                <w:kern w:val="0"/>
                <w:szCs w:val="18"/>
              </w:rPr>
            </w:pPr>
          </w:p>
        </w:tc>
      </w:tr>
      <w:tr w14:paraId="33F7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966" w:type="dxa"/>
            <w:tcBorders>
              <w:left w:val="single" w:color="auto" w:sz="4" w:space="0"/>
            </w:tcBorders>
            <w:noWrap/>
            <w:vAlign w:val="center"/>
          </w:tcPr>
          <w:p w14:paraId="1ABDC237">
            <w:pPr>
              <w:widowControl/>
              <w:jc w:val="center"/>
              <w:rPr>
                <w:rFonts w:eastAsia="仿宋_GB2312"/>
                <w:kern w:val="0"/>
                <w:sz w:val="18"/>
                <w:szCs w:val="18"/>
              </w:rPr>
            </w:pPr>
          </w:p>
        </w:tc>
        <w:tc>
          <w:tcPr>
            <w:tcW w:w="2154" w:type="dxa"/>
            <w:noWrap/>
            <w:vAlign w:val="center"/>
          </w:tcPr>
          <w:p w14:paraId="6994DA9C">
            <w:pPr>
              <w:widowControl/>
              <w:jc w:val="center"/>
              <w:rPr>
                <w:rFonts w:eastAsia="仿宋_GB2312"/>
                <w:kern w:val="0"/>
                <w:sz w:val="18"/>
                <w:szCs w:val="18"/>
              </w:rPr>
            </w:pPr>
          </w:p>
        </w:tc>
        <w:tc>
          <w:tcPr>
            <w:tcW w:w="2268" w:type="dxa"/>
            <w:noWrap/>
            <w:vAlign w:val="center"/>
          </w:tcPr>
          <w:p w14:paraId="4F33827E">
            <w:pPr>
              <w:widowControl/>
              <w:jc w:val="center"/>
              <w:rPr>
                <w:rFonts w:eastAsia="仿宋_GB2312"/>
                <w:kern w:val="0"/>
                <w:sz w:val="18"/>
                <w:szCs w:val="18"/>
              </w:rPr>
            </w:pPr>
          </w:p>
        </w:tc>
        <w:tc>
          <w:tcPr>
            <w:tcW w:w="1842" w:type="dxa"/>
            <w:vAlign w:val="center"/>
          </w:tcPr>
          <w:p w14:paraId="008AC74D">
            <w:pPr>
              <w:widowControl/>
              <w:jc w:val="center"/>
              <w:rPr>
                <w:rFonts w:eastAsia="仿宋_GB2312"/>
                <w:kern w:val="0"/>
                <w:sz w:val="18"/>
                <w:szCs w:val="18"/>
              </w:rPr>
            </w:pPr>
          </w:p>
        </w:tc>
        <w:tc>
          <w:tcPr>
            <w:tcW w:w="1560" w:type="dxa"/>
            <w:vAlign w:val="center"/>
          </w:tcPr>
          <w:p w14:paraId="3B1F8C57">
            <w:pPr>
              <w:widowControl/>
              <w:jc w:val="center"/>
              <w:rPr>
                <w:rFonts w:eastAsia="仿宋_GB2312"/>
                <w:kern w:val="0"/>
                <w:sz w:val="18"/>
                <w:szCs w:val="18"/>
              </w:rPr>
            </w:pPr>
          </w:p>
        </w:tc>
        <w:tc>
          <w:tcPr>
            <w:tcW w:w="1842" w:type="dxa"/>
            <w:vAlign w:val="center"/>
          </w:tcPr>
          <w:p w14:paraId="04EBB5AC">
            <w:pPr>
              <w:widowControl/>
              <w:jc w:val="center"/>
              <w:rPr>
                <w:rFonts w:eastAsia="仿宋_GB2312"/>
                <w:kern w:val="0"/>
                <w:sz w:val="18"/>
                <w:szCs w:val="18"/>
              </w:rPr>
            </w:pPr>
          </w:p>
        </w:tc>
        <w:tc>
          <w:tcPr>
            <w:tcW w:w="1418" w:type="dxa"/>
            <w:vAlign w:val="center"/>
          </w:tcPr>
          <w:p w14:paraId="355B88BA">
            <w:pPr>
              <w:widowControl/>
              <w:jc w:val="center"/>
              <w:rPr>
                <w:rFonts w:eastAsia="仿宋_GB2312"/>
                <w:kern w:val="0"/>
                <w:sz w:val="18"/>
                <w:szCs w:val="18"/>
              </w:rPr>
            </w:pPr>
          </w:p>
        </w:tc>
        <w:tc>
          <w:tcPr>
            <w:tcW w:w="1417" w:type="dxa"/>
            <w:tcBorders>
              <w:right w:val="single" w:color="auto" w:sz="4" w:space="0"/>
            </w:tcBorders>
            <w:vAlign w:val="center"/>
          </w:tcPr>
          <w:p w14:paraId="2CA749F4">
            <w:pPr>
              <w:widowControl/>
              <w:jc w:val="center"/>
              <w:rPr>
                <w:rFonts w:eastAsia="仿宋"/>
                <w:kern w:val="0"/>
                <w:sz w:val="20"/>
                <w:szCs w:val="20"/>
              </w:rPr>
            </w:pPr>
          </w:p>
        </w:tc>
      </w:tr>
      <w:tr w14:paraId="2B7B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966" w:type="dxa"/>
            <w:tcBorders>
              <w:left w:val="single" w:color="auto" w:sz="4" w:space="0"/>
            </w:tcBorders>
            <w:noWrap/>
            <w:vAlign w:val="center"/>
          </w:tcPr>
          <w:p w14:paraId="7503164E">
            <w:pPr>
              <w:widowControl/>
              <w:jc w:val="center"/>
              <w:rPr>
                <w:rFonts w:eastAsia="仿宋_GB2312"/>
                <w:kern w:val="0"/>
                <w:sz w:val="18"/>
                <w:szCs w:val="18"/>
              </w:rPr>
            </w:pPr>
          </w:p>
        </w:tc>
        <w:tc>
          <w:tcPr>
            <w:tcW w:w="2154" w:type="dxa"/>
            <w:noWrap/>
            <w:vAlign w:val="center"/>
          </w:tcPr>
          <w:p w14:paraId="0AB3CC8C">
            <w:pPr>
              <w:widowControl/>
              <w:jc w:val="center"/>
              <w:rPr>
                <w:rFonts w:eastAsia="仿宋_GB2312"/>
                <w:kern w:val="0"/>
                <w:sz w:val="18"/>
                <w:szCs w:val="18"/>
              </w:rPr>
            </w:pPr>
          </w:p>
        </w:tc>
        <w:tc>
          <w:tcPr>
            <w:tcW w:w="2268" w:type="dxa"/>
            <w:noWrap/>
            <w:vAlign w:val="center"/>
          </w:tcPr>
          <w:p w14:paraId="4D1D37E5">
            <w:pPr>
              <w:widowControl/>
              <w:jc w:val="center"/>
              <w:rPr>
                <w:rFonts w:eastAsia="仿宋_GB2312"/>
                <w:kern w:val="0"/>
                <w:sz w:val="18"/>
                <w:szCs w:val="18"/>
              </w:rPr>
            </w:pPr>
          </w:p>
        </w:tc>
        <w:tc>
          <w:tcPr>
            <w:tcW w:w="1842" w:type="dxa"/>
            <w:vAlign w:val="center"/>
          </w:tcPr>
          <w:p w14:paraId="63EDF458">
            <w:pPr>
              <w:widowControl/>
              <w:jc w:val="center"/>
              <w:rPr>
                <w:rFonts w:eastAsia="仿宋_GB2312"/>
                <w:kern w:val="0"/>
                <w:sz w:val="18"/>
                <w:szCs w:val="18"/>
              </w:rPr>
            </w:pPr>
          </w:p>
        </w:tc>
        <w:tc>
          <w:tcPr>
            <w:tcW w:w="1560" w:type="dxa"/>
            <w:vAlign w:val="center"/>
          </w:tcPr>
          <w:p w14:paraId="04C2F93D">
            <w:pPr>
              <w:widowControl/>
              <w:jc w:val="center"/>
              <w:rPr>
                <w:rFonts w:eastAsia="仿宋_GB2312"/>
                <w:kern w:val="0"/>
                <w:sz w:val="18"/>
                <w:szCs w:val="18"/>
              </w:rPr>
            </w:pPr>
          </w:p>
        </w:tc>
        <w:tc>
          <w:tcPr>
            <w:tcW w:w="1842" w:type="dxa"/>
            <w:vAlign w:val="center"/>
          </w:tcPr>
          <w:p w14:paraId="6C8AB279">
            <w:pPr>
              <w:widowControl/>
              <w:jc w:val="center"/>
              <w:rPr>
                <w:rFonts w:eastAsia="仿宋_GB2312"/>
                <w:kern w:val="0"/>
                <w:sz w:val="18"/>
                <w:szCs w:val="18"/>
              </w:rPr>
            </w:pPr>
          </w:p>
        </w:tc>
        <w:tc>
          <w:tcPr>
            <w:tcW w:w="1418" w:type="dxa"/>
            <w:vAlign w:val="center"/>
          </w:tcPr>
          <w:p w14:paraId="07859926">
            <w:pPr>
              <w:widowControl/>
              <w:jc w:val="center"/>
              <w:rPr>
                <w:rFonts w:eastAsia="仿宋_GB2312"/>
                <w:kern w:val="0"/>
                <w:sz w:val="18"/>
                <w:szCs w:val="18"/>
              </w:rPr>
            </w:pPr>
          </w:p>
        </w:tc>
        <w:tc>
          <w:tcPr>
            <w:tcW w:w="1417" w:type="dxa"/>
            <w:tcBorders>
              <w:right w:val="single" w:color="auto" w:sz="4" w:space="0"/>
            </w:tcBorders>
            <w:vAlign w:val="center"/>
          </w:tcPr>
          <w:p w14:paraId="442C585E">
            <w:pPr>
              <w:widowControl/>
              <w:jc w:val="center"/>
              <w:rPr>
                <w:rFonts w:eastAsia="仿宋"/>
                <w:kern w:val="0"/>
                <w:sz w:val="20"/>
                <w:szCs w:val="20"/>
              </w:rPr>
            </w:pPr>
          </w:p>
        </w:tc>
      </w:tr>
      <w:tr w14:paraId="309D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966" w:type="dxa"/>
            <w:tcBorders>
              <w:left w:val="single" w:color="auto" w:sz="4" w:space="0"/>
            </w:tcBorders>
            <w:noWrap/>
            <w:vAlign w:val="center"/>
          </w:tcPr>
          <w:p w14:paraId="19B4A0A0">
            <w:pPr>
              <w:widowControl/>
              <w:jc w:val="center"/>
              <w:rPr>
                <w:rFonts w:eastAsia="仿宋_GB2312"/>
                <w:kern w:val="0"/>
                <w:sz w:val="18"/>
                <w:szCs w:val="18"/>
              </w:rPr>
            </w:pPr>
          </w:p>
        </w:tc>
        <w:tc>
          <w:tcPr>
            <w:tcW w:w="2154" w:type="dxa"/>
            <w:noWrap/>
            <w:vAlign w:val="center"/>
          </w:tcPr>
          <w:p w14:paraId="1EF06AB5">
            <w:pPr>
              <w:widowControl/>
              <w:jc w:val="center"/>
              <w:rPr>
                <w:rFonts w:eastAsia="仿宋_GB2312"/>
                <w:kern w:val="0"/>
                <w:sz w:val="18"/>
                <w:szCs w:val="18"/>
              </w:rPr>
            </w:pPr>
          </w:p>
        </w:tc>
        <w:tc>
          <w:tcPr>
            <w:tcW w:w="2268" w:type="dxa"/>
            <w:noWrap/>
            <w:vAlign w:val="center"/>
          </w:tcPr>
          <w:p w14:paraId="0C01472A">
            <w:pPr>
              <w:widowControl/>
              <w:jc w:val="center"/>
              <w:rPr>
                <w:rFonts w:eastAsia="仿宋_GB2312"/>
                <w:kern w:val="0"/>
                <w:sz w:val="18"/>
                <w:szCs w:val="18"/>
              </w:rPr>
            </w:pPr>
          </w:p>
        </w:tc>
        <w:tc>
          <w:tcPr>
            <w:tcW w:w="1842" w:type="dxa"/>
            <w:vAlign w:val="center"/>
          </w:tcPr>
          <w:p w14:paraId="567A4E5A">
            <w:pPr>
              <w:widowControl/>
              <w:jc w:val="center"/>
              <w:rPr>
                <w:rFonts w:eastAsia="仿宋_GB2312"/>
                <w:kern w:val="0"/>
                <w:sz w:val="18"/>
                <w:szCs w:val="18"/>
              </w:rPr>
            </w:pPr>
          </w:p>
        </w:tc>
        <w:tc>
          <w:tcPr>
            <w:tcW w:w="1560" w:type="dxa"/>
            <w:vAlign w:val="center"/>
          </w:tcPr>
          <w:p w14:paraId="1368E39B">
            <w:pPr>
              <w:widowControl/>
              <w:jc w:val="center"/>
              <w:rPr>
                <w:rFonts w:eastAsia="仿宋_GB2312"/>
                <w:kern w:val="0"/>
                <w:sz w:val="18"/>
                <w:szCs w:val="18"/>
              </w:rPr>
            </w:pPr>
          </w:p>
        </w:tc>
        <w:tc>
          <w:tcPr>
            <w:tcW w:w="1842" w:type="dxa"/>
            <w:vAlign w:val="center"/>
          </w:tcPr>
          <w:p w14:paraId="0850C350">
            <w:pPr>
              <w:widowControl/>
              <w:jc w:val="center"/>
              <w:rPr>
                <w:rFonts w:eastAsia="仿宋_GB2312"/>
                <w:kern w:val="0"/>
                <w:sz w:val="18"/>
                <w:szCs w:val="18"/>
              </w:rPr>
            </w:pPr>
          </w:p>
        </w:tc>
        <w:tc>
          <w:tcPr>
            <w:tcW w:w="1418" w:type="dxa"/>
            <w:vAlign w:val="center"/>
          </w:tcPr>
          <w:p w14:paraId="47283434">
            <w:pPr>
              <w:widowControl/>
              <w:jc w:val="center"/>
              <w:rPr>
                <w:rFonts w:eastAsia="仿宋_GB2312"/>
                <w:kern w:val="0"/>
                <w:sz w:val="18"/>
                <w:szCs w:val="18"/>
              </w:rPr>
            </w:pPr>
          </w:p>
        </w:tc>
        <w:tc>
          <w:tcPr>
            <w:tcW w:w="1417" w:type="dxa"/>
            <w:tcBorders>
              <w:right w:val="single" w:color="auto" w:sz="4" w:space="0"/>
            </w:tcBorders>
            <w:vAlign w:val="center"/>
          </w:tcPr>
          <w:p w14:paraId="65A1E400">
            <w:pPr>
              <w:widowControl/>
              <w:jc w:val="center"/>
              <w:rPr>
                <w:rFonts w:eastAsia="仿宋"/>
                <w:kern w:val="0"/>
                <w:sz w:val="20"/>
                <w:szCs w:val="20"/>
              </w:rPr>
            </w:pPr>
          </w:p>
        </w:tc>
      </w:tr>
    </w:tbl>
    <w:p w14:paraId="270E8A20">
      <w:pPr>
        <w:ind w:right="1283" w:rightChars="611"/>
        <w:rPr>
          <w:rFonts w:hint="eastAsia" w:eastAsia="黑体"/>
          <w:color w:val="000000"/>
          <w:kern w:val="0"/>
          <w:sz w:val="32"/>
          <w:szCs w:val="32"/>
        </w:rPr>
      </w:pPr>
      <w:r>
        <w:rPr>
          <w:rFonts w:hint="eastAsia" w:eastAsia="黑体"/>
          <w:color w:val="000000"/>
          <w:kern w:val="0"/>
          <w:sz w:val="32"/>
          <w:szCs w:val="32"/>
        </w:rPr>
        <w:t>附件7</w:t>
      </w:r>
    </w:p>
    <w:p w14:paraId="2844E3DE">
      <w:pPr>
        <w:ind w:right="1283" w:rightChars="611"/>
        <w:jc w:val="center"/>
      </w:pPr>
      <w:r>
        <w:rPr>
          <w:rFonts w:eastAsia="方正小标宋_GBK"/>
          <w:bCs/>
          <w:kern w:val="0"/>
          <w:sz w:val="44"/>
          <w:szCs w:val="32"/>
        </w:rPr>
        <w:t>拟申报青岛市工程研究中心汇总表</w:t>
      </w:r>
    </w:p>
    <w:p w14:paraId="7ADA824A">
      <w:pPr>
        <w:ind w:right="1283" w:rightChars="611"/>
        <w:rPr>
          <w:rFonts w:hint="eastAsia" w:eastAsia="黑体"/>
          <w:color w:val="000000"/>
          <w:kern w:val="0"/>
          <w:sz w:val="32"/>
          <w:szCs w:val="32"/>
        </w:rPr>
      </w:pPr>
    </w:p>
    <w:sectPr>
      <w:headerReference r:id="rId4" w:type="default"/>
      <w:footerReference r:id="rId5" w:type="default"/>
      <w:footerReference r:id="rId6" w:type="even"/>
      <w:pgSz w:w="16840" w:h="11907" w:orient="landscape"/>
      <w:pgMar w:top="1588" w:right="2098" w:bottom="1474" w:left="1985"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5BD991-3ED9-44FA-B703-291B51B4DF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embedRegular r:id="rId2" w:fontKey="{ED6E2AAC-D1C4-4D54-8B74-0B6D9C972407}"/>
  </w:font>
  <w:font w:name="文星简美黑">
    <w:altName w:val="黑体"/>
    <w:panose1 w:val="0201060900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96161D45-C947-4D59-AEA4-629674D07016}"/>
  </w:font>
  <w:font w:name="仿宋">
    <w:panose1 w:val="02010609060101010101"/>
    <w:charset w:val="86"/>
    <w:family w:val="modern"/>
    <w:pitch w:val="default"/>
    <w:sig w:usb0="800002BF" w:usb1="38CF7CFA" w:usb2="00000016" w:usb3="00000000" w:csb0="00040001" w:csb1="00000000"/>
    <w:embedRegular r:id="rId4" w:fontKey="{8BBDBF5B-B360-4D51-945C-947E266AF916}"/>
  </w:font>
  <w:font w:name="楷体_GB2312">
    <w:panose1 w:val="02010609030101010101"/>
    <w:charset w:val="86"/>
    <w:family w:val="modern"/>
    <w:pitch w:val="default"/>
    <w:sig w:usb0="00000001" w:usb1="080E0000" w:usb2="00000000" w:usb3="00000000" w:csb0="00040000" w:csb1="00000000"/>
    <w:embedRegular r:id="rId5" w:fontKey="{45E7A0F8-D38C-4928-9399-92CFA7065E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5444D">
    <w:pPr>
      <w:pStyle w:val="5"/>
      <w:framePr w:wrap="around" w:vAnchor="text" w:hAnchor="margin" w:xAlign="outside" w:y="1"/>
      <w:rPr>
        <w:rStyle w:val="10"/>
        <w:sz w:val="28"/>
        <w:szCs w:val="28"/>
      </w:rPr>
    </w:pPr>
    <w:r>
      <w:rPr>
        <w:sz w:val="28"/>
        <w:szCs w:val="28"/>
      </w:rPr>
      <w:t>―</w:t>
    </w:r>
    <w:r>
      <w:rPr>
        <w:rFonts w:hint="eastAsia"/>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2</w:t>
    </w:r>
    <w:r>
      <w:rPr>
        <w:sz w:val="28"/>
        <w:szCs w:val="28"/>
      </w:rPr>
      <w:fldChar w:fldCharType="end"/>
    </w:r>
    <w:r>
      <w:rPr>
        <w:rStyle w:val="10"/>
        <w:rFonts w:hint="eastAsia"/>
        <w:sz w:val="28"/>
        <w:szCs w:val="28"/>
      </w:rPr>
      <w:t xml:space="preserve"> </w:t>
    </w:r>
    <w:r>
      <w:rPr>
        <w:sz w:val="28"/>
        <w:szCs w:val="28"/>
      </w:rPr>
      <w:t>―</w:t>
    </w:r>
    <w:r>
      <w:rPr>
        <w:rFonts w:hint="eastAsia"/>
        <w:sz w:val="28"/>
        <w:szCs w:val="28"/>
      </w:rPr>
      <w:t xml:space="preserve">   </w:t>
    </w:r>
  </w:p>
  <w:p w14:paraId="34340BD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14E9D">
    <w:pPr>
      <w:pStyle w:val="5"/>
      <w:framePr w:wrap="around" w:vAnchor="text" w:hAnchor="margin" w:xAlign="outside" w:y="1"/>
      <w:rPr>
        <w:rStyle w:val="10"/>
        <w:sz w:val="28"/>
        <w:szCs w:val="28"/>
      </w:rPr>
    </w:pPr>
    <w:r>
      <w:rPr>
        <w:sz w:val="28"/>
        <w:szCs w:val="28"/>
      </w:rPr>
      <w:t>―</w:t>
    </w:r>
    <w:r>
      <w:rPr>
        <w:rFonts w:hint="eastAsia"/>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23</w:t>
    </w:r>
    <w:r>
      <w:rPr>
        <w:sz w:val="28"/>
        <w:szCs w:val="28"/>
      </w:rPr>
      <w:fldChar w:fldCharType="end"/>
    </w:r>
    <w:r>
      <w:rPr>
        <w:rStyle w:val="10"/>
        <w:rFonts w:hint="eastAsia"/>
        <w:sz w:val="28"/>
        <w:szCs w:val="28"/>
      </w:rPr>
      <w:t xml:space="preserve"> </w:t>
    </w:r>
    <w:r>
      <w:rPr>
        <w:sz w:val="28"/>
        <w:szCs w:val="28"/>
      </w:rPr>
      <w:t>―</w:t>
    </w:r>
    <w:r>
      <w:rPr>
        <w:rFonts w:hint="eastAsia"/>
        <w:sz w:val="28"/>
        <w:szCs w:val="28"/>
      </w:rPr>
      <w:t xml:space="preserve">   </w:t>
    </w:r>
  </w:p>
  <w:p w14:paraId="09936CBC">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BD678">
    <w:pPr>
      <w:pStyle w:val="5"/>
      <w:framePr w:wrap="around" w:vAnchor="text" w:hAnchor="margin" w:xAlign="outside" w:y="1"/>
      <w:rPr>
        <w:rStyle w:val="10"/>
      </w:rPr>
    </w:pPr>
    <w:r>
      <w:fldChar w:fldCharType="begin"/>
    </w:r>
    <w:r>
      <w:rPr>
        <w:rStyle w:val="10"/>
      </w:rPr>
      <w:instrText xml:space="preserve">PAGE  </w:instrText>
    </w:r>
    <w:r>
      <w:fldChar w:fldCharType="end"/>
    </w:r>
  </w:p>
  <w:p w14:paraId="568A1016">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7B0D2">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zMjk0MTMzYjdlM2ZlYTJhNjkyNWNhMGYyNTgwOTgifQ=="/>
  </w:docVars>
  <w:rsids>
    <w:rsidRoot w:val="008E6D7B"/>
    <w:rsid w:val="000043B6"/>
    <w:rsid w:val="00010932"/>
    <w:rsid w:val="000147ED"/>
    <w:rsid w:val="000213C4"/>
    <w:rsid w:val="00023A75"/>
    <w:rsid w:val="00036355"/>
    <w:rsid w:val="00040A68"/>
    <w:rsid w:val="00056604"/>
    <w:rsid w:val="00057216"/>
    <w:rsid w:val="000663E8"/>
    <w:rsid w:val="00074D6D"/>
    <w:rsid w:val="00082AC9"/>
    <w:rsid w:val="00094C39"/>
    <w:rsid w:val="000A022A"/>
    <w:rsid w:val="000A3923"/>
    <w:rsid w:val="000D2F34"/>
    <w:rsid w:val="000D3F9B"/>
    <w:rsid w:val="000D43C7"/>
    <w:rsid w:val="000E0E7B"/>
    <w:rsid w:val="000E0EB3"/>
    <w:rsid w:val="000E56FC"/>
    <w:rsid w:val="000E5D26"/>
    <w:rsid w:val="000F4014"/>
    <w:rsid w:val="00100B20"/>
    <w:rsid w:val="001109AF"/>
    <w:rsid w:val="001437BA"/>
    <w:rsid w:val="00145657"/>
    <w:rsid w:val="00157170"/>
    <w:rsid w:val="00165853"/>
    <w:rsid w:val="00170807"/>
    <w:rsid w:val="001773D3"/>
    <w:rsid w:val="00191B95"/>
    <w:rsid w:val="001A3476"/>
    <w:rsid w:val="001B71FE"/>
    <w:rsid w:val="001C4DE5"/>
    <w:rsid w:val="001D0C2A"/>
    <w:rsid w:val="001E128A"/>
    <w:rsid w:val="001E3985"/>
    <w:rsid w:val="001F0C7C"/>
    <w:rsid w:val="001F7F88"/>
    <w:rsid w:val="00212F90"/>
    <w:rsid w:val="002176C1"/>
    <w:rsid w:val="002265DE"/>
    <w:rsid w:val="00231B98"/>
    <w:rsid w:val="002362CC"/>
    <w:rsid w:val="00244F03"/>
    <w:rsid w:val="00246C74"/>
    <w:rsid w:val="00251041"/>
    <w:rsid w:val="00256E7D"/>
    <w:rsid w:val="00294AD1"/>
    <w:rsid w:val="002A2D58"/>
    <w:rsid w:val="002A3A4A"/>
    <w:rsid w:val="002A407B"/>
    <w:rsid w:val="002A730C"/>
    <w:rsid w:val="002B0568"/>
    <w:rsid w:val="002B7924"/>
    <w:rsid w:val="002D375E"/>
    <w:rsid w:val="002D590C"/>
    <w:rsid w:val="002D7532"/>
    <w:rsid w:val="002E5F64"/>
    <w:rsid w:val="002F59D3"/>
    <w:rsid w:val="002F7FE1"/>
    <w:rsid w:val="00310CB5"/>
    <w:rsid w:val="00321AF6"/>
    <w:rsid w:val="00325645"/>
    <w:rsid w:val="003306BC"/>
    <w:rsid w:val="0033666F"/>
    <w:rsid w:val="00340F6E"/>
    <w:rsid w:val="0034223C"/>
    <w:rsid w:val="0034265C"/>
    <w:rsid w:val="00352715"/>
    <w:rsid w:val="00361DDD"/>
    <w:rsid w:val="003624D6"/>
    <w:rsid w:val="0036455A"/>
    <w:rsid w:val="00365013"/>
    <w:rsid w:val="00391A01"/>
    <w:rsid w:val="00391FEA"/>
    <w:rsid w:val="0039202E"/>
    <w:rsid w:val="00397319"/>
    <w:rsid w:val="003B0D0A"/>
    <w:rsid w:val="003B51CF"/>
    <w:rsid w:val="003C4ED9"/>
    <w:rsid w:val="003D3A26"/>
    <w:rsid w:val="003D4260"/>
    <w:rsid w:val="003D6FA9"/>
    <w:rsid w:val="003E55A2"/>
    <w:rsid w:val="003E7BDE"/>
    <w:rsid w:val="003F097F"/>
    <w:rsid w:val="003F51B3"/>
    <w:rsid w:val="003F6B3B"/>
    <w:rsid w:val="004059E0"/>
    <w:rsid w:val="00412119"/>
    <w:rsid w:val="00432EA1"/>
    <w:rsid w:val="00440F0B"/>
    <w:rsid w:val="004435B4"/>
    <w:rsid w:val="00445AAD"/>
    <w:rsid w:val="00445AE1"/>
    <w:rsid w:val="004528D1"/>
    <w:rsid w:val="0047091A"/>
    <w:rsid w:val="00473494"/>
    <w:rsid w:val="004810BC"/>
    <w:rsid w:val="0048275B"/>
    <w:rsid w:val="00482A55"/>
    <w:rsid w:val="004A2735"/>
    <w:rsid w:val="004C0029"/>
    <w:rsid w:val="004E25C5"/>
    <w:rsid w:val="005025E4"/>
    <w:rsid w:val="00511DD9"/>
    <w:rsid w:val="00517DD6"/>
    <w:rsid w:val="005331C6"/>
    <w:rsid w:val="00536DBE"/>
    <w:rsid w:val="00540772"/>
    <w:rsid w:val="00543AF1"/>
    <w:rsid w:val="00546769"/>
    <w:rsid w:val="0056441E"/>
    <w:rsid w:val="005849F0"/>
    <w:rsid w:val="00585AEF"/>
    <w:rsid w:val="00590D12"/>
    <w:rsid w:val="00593422"/>
    <w:rsid w:val="00596A18"/>
    <w:rsid w:val="005B3F34"/>
    <w:rsid w:val="005B5768"/>
    <w:rsid w:val="005C55DD"/>
    <w:rsid w:val="005D7068"/>
    <w:rsid w:val="005E677D"/>
    <w:rsid w:val="005E7F61"/>
    <w:rsid w:val="0060282C"/>
    <w:rsid w:val="00617318"/>
    <w:rsid w:val="00632FA6"/>
    <w:rsid w:val="00634852"/>
    <w:rsid w:val="006539AA"/>
    <w:rsid w:val="00673DCE"/>
    <w:rsid w:val="00675040"/>
    <w:rsid w:val="00687027"/>
    <w:rsid w:val="006A2DF8"/>
    <w:rsid w:val="006A7ADA"/>
    <w:rsid w:val="006C38C9"/>
    <w:rsid w:val="006D2377"/>
    <w:rsid w:val="006E26D8"/>
    <w:rsid w:val="006E5893"/>
    <w:rsid w:val="006F72BF"/>
    <w:rsid w:val="00704721"/>
    <w:rsid w:val="00712186"/>
    <w:rsid w:val="00724B82"/>
    <w:rsid w:val="00725F9D"/>
    <w:rsid w:val="00726C81"/>
    <w:rsid w:val="00732C5F"/>
    <w:rsid w:val="00741F70"/>
    <w:rsid w:val="007452F6"/>
    <w:rsid w:val="00745859"/>
    <w:rsid w:val="00761379"/>
    <w:rsid w:val="00767338"/>
    <w:rsid w:val="0077061B"/>
    <w:rsid w:val="00774EFC"/>
    <w:rsid w:val="00780445"/>
    <w:rsid w:val="0079130B"/>
    <w:rsid w:val="007948E4"/>
    <w:rsid w:val="007970E9"/>
    <w:rsid w:val="007A1DE2"/>
    <w:rsid w:val="007B598B"/>
    <w:rsid w:val="007C1C68"/>
    <w:rsid w:val="007C7637"/>
    <w:rsid w:val="007D1D55"/>
    <w:rsid w:val="007E6A96"/>
    <w:rsid w:val="007F228D"/>
    <w:rsid w:val="007F2A55"/>
    <w:rsid w:val="007F4236"/>
    <w:rsid w:val="007F460A"/>
    <w:rsid w:val="00800D4B"/>
    <w:rsid w:val="00800F43"/>
    <w:rsid w:val="00801859"/>
    <w:rsid w:val="00807E98"/>
    <w:rsid w:val="00817AD3"/>
    <w:rsid w:val="008316B3"/>
    <w:rsid w:val="008645CE"/>
    <w:rsid w:val="00867863"/>
    <w:rsid w:val="00871360"/>
    <w:rsid w:val="00887E20"/>
    <w:rsid w:val="008A4441"/>
    <w:rsid w:val="008A6B73"/>
    <w:rsid w:val="008B0ACA"/>
    <w:rsid w:val="008B0B15"/>
    <w:rsid w:val="008B1F07"/>
    <w:rsid w:val="008B2B9B"/>
    <w:rsid w:val="008B3EDC"/>
    <w:rsid w:val="008C3C3E"/>
    <w:rsid w:val="008D5A9D"/>
    <w:rsid w:val="008E270A"/>
    <w:rsid w:val="008E4163"/>
    <w:rsid w:val="008E4738"/>
    <w:rsid w:val="008E6D7B"/>
    <w:rsid w:val="008F2B39"/>
    <w:rsid w:val="008F693F"/>
    <w:rsid w:val="00914565"/>
    <w:rsid w:val="009359FA"/>
    <w:rsid w:val="0093653B"/>
    <w:rsid w:val="0094253A"/>
    <w:rsid w:val="00944A04"/>
    <w:rsid w:val="00946311"/>
    <w:rsid w:val="0095094A"/>
    <w:rsid w:val="00952A27"/>
    <w:rsid w:val="00971FBC"/>
    <w:rsid w:val="0097331A"/>
    <w:rsid w:val="00985A6B"/>
    <w:rsid w:val="00985FA1"/>
    <w:rsid w:val="009904BD"/>
    <w:rsid w:val="00991F66"/>
    <w:rsid w:val="009956B6"/>
    <w:rsid w:val="009A55C1"/>
    <w:rsid w:val="009B0D76"/>
    <w:rsid w:val="009B513A"/>
    <w:rsid w:val="009B6074"/>
    <w:rsid w:val="009B7200"/>
    <w:rsid w:val="009D4E61"/>
    <w:rsid w:val="009D5B91"/>
    <w:rsid w:val="009D6E53"/>
    <w:rsid w:val="009E0486"/>
    <w:rsid w:val="009E1701"/>
    <w:rsid w:val="00A03423"/>
    <w:rsid w:val="00A10B3F"/>
    <w:rsid w:val="00A14F9E"/>
    <w:rsid w:val="00A168F5"/>
    <w:rsid w:val="00A2212C"/>
    <w:rsid w:val="00A2214B"/>
    <w:rsid w:val="00A33811"/>
    <w:rsid w:val="00A34797"/>
    <w:rsid w:val="00A5736F"/>
    <w:rsid w:val="00A57EC4"/>
    <w:rsid w:val="00A617E8"/>
    <w:rsid w:val="00A65BB5"/>
    <w:rsid w:val="00A674E5"/>
    <w:rsid w:val="00A702EC"/>
    <w:rsid w:val="00A851DC"/>
    <w:rsid w:val="00AB0363"/>
    <w:rsid w:val="00AC1CAA"/>
    <w:rsid w:val="00AD5AC5"/>
    <w:rsid w:val="00AE03CF"/>
    <w:rsid w:val="00AE427A"/>
    <w:rsid w:val="00AE5EAE"/>
    <w:rsid w:val="00AE62F4"/>
    <w:rsid w:val="00AF2CB8"/>
    <w:rsid w:val="00AF49F4"/>
    <w:rsid w:val="00B07055"/>
    <w:rsid w:val="00B15291"/>
    <w:rsid w:val="00B1646B"/>
    <w:rsid w:val="00B17635"/>
    <w:rsid w:val="00B32D4B"/>
    <w:rsid w:val="00B42A43"/>
    <w:rsid w:val="00B5167D"/>
    <w:rsid w:val="00B64E8D"/>
    <w:rsid w:val="00B90F87"/>
    <w:rsid w:val="00B91EBD"/>
    <w:rsid w:val="00B92013"/>
    <w:rsid w:val="00B96C73"/>
    <w:rsid w:val="00BA0BC5"/>
    <w:rsid w:val="00BB1E1B"/>
    <w:rsid w:val="00BB7149"/>
    <w:rsid w:val="00BC227D"/>
    <w:rsid w:val="00BC50E4"/>
    <w:rsid w:val="00BD4037"/>
    <w:rsid w:val="00BE0D59"/>
    <w:rsid w:val="00BE2BEF"/>
    <w:rsid w:val="00C07CF9"/>
    <w:rsid w:val="00C138F4"/>
    <w:rsid w:val="00C17293"/>
    <w:rsid w:val="00C20840"/>
    <w:rsid w:val="00C227B1"/>
    <w:rsid w:val="00C26CA1"/>
    <w:rsid w:val="00C443C3"/>
    <w:rsid w:val="00C52AA2"/>
    <w:rsid w:val="00C61647"/>
    <w:rsid w:val="00C7429C"/>
    <w:rsid w:val="00C81F9B"/>
    <w:rsid w:val="00C82055"/>
    <w:rsid w:val="00C86429"/>
    <w:rsid w:val="00C96012"/>
    <w:rsid w:val="00CA13B2"/>
    <w:rsid w:val="00CB1716"/>
    <w:rsid w:val="00CB2E03"/>
    <w:rsid w:val="00CB411E"/>
    <w:rsid w:val="00CB7667"/>
    <w:rsid w:val="00CC2DB8"/>
    <w:rsid w:val="00CE14CC"/>
    <w:rsid w:val="00CF552B"/>
    <w:rsid w:val="00CF7101"/>
    <w:rsid w:val="00D00778"/>
    <w:rsid w:val="00D039CF"/>
    <w:rsid w:val="00D10B52"/>
    <w:rsid w:val="00D14E49"/>
    <w:rsid w:val="00D177D9"/>
    <w:rsid w:val="00D25D5E"/>
    <w:rsid w:val="00D332A2"/>
    <w:rsid w:val="00D36518"/>
    <w:rsid w:val="00D44364"/>
    <w:rsid w:val="00D458C9"/>
    <w:rsid w:val="00D46D80"/>
    <w:rsid w:val="00D561DB"/>
    <w:rsid w:val="00D7051B"/>
    <w:rsid w:val="00D7532E"/>
    <w:rsid w:val="00D819CA"/>
    <w:rsid w:val="00D8528F"/>
    <w:rsid w:val="00D85309"/>
    <w:rsid w:val="00D90435"/>
    <w:rsid w:val="00D94814"/>
    <w:rsid w:val="00D94A69"/>
    <w:rsid w:val="00D94F0A"/>
    <w:rsid w:val="00DA3108"/>
    <w:rsid w:val="00DB3FC6"/>
    <w:rsid w:val="00DC1619"/>
    <w:rsid w:val="00DD484B"/>
    <w:rsid w:val="00DD6A22"/>
    <w:rsid w:val="00DE3F32"/>
    <w:rsid w:val="00DE4C36"/>
    <w:rsid w:val="00DE5DD8"/>
    <w:rsid w:val="00DF0C45"/>
    <w:rsid w:val="00DF1A57"/>
    <w:rsid w:val="00DF2483"/>
    <w:rsid w:val="00DF713E"/>
    <w:rsid w:val="00E04DD4"/>
    <w:rsid w:val="00E05702"/>
    <w:rsid w:val="00E12929"/>
    <w:rsid w:val="00E163A0"/>
    <w:rsid w:val="00E27E0B"/>
    <w:rsid w:val="00E555D2"/>
    <w:rsid w:val="00E60518"/>
    <w:rsid w:val="00E637D1"/>
    <w:rsid w:val="00E74227"/>
    <w:rsid w:val="00E847E7"/>
    <w:rsid w:val="00E96B8B"/>
    <w:rsid w:val="00EA52B9"/>
    <w:rsid w:val="00EA53D5"/>
    <w:rsid w:val="00EB26C4"/>
    <w:rsid w:val="00EB3659"/>
    <w:rsid w:val="00EB5246"/>
    <w:rsid w:val="00EC1756"/>
    <w:rsid w:val="00EE2B31"/>
    <w:rsid w:val="00EE4FFA"/>
    <w:rsid w:val="00EE56FC"/>
    <w:rsid w:val="00EE6689"/>
    <w:rsid w:val="00EF40D4"/>
    <w:rsid w:val="00F019D5"/>
    <w:rsid w:val="00F100D2"/>
    <w:rsid w:val="00F12949"/>
    <w:rsid w:val="00F170AF"/>
    <w:rsid w:val="00F222DC"/>
    <w:rsid w:val="00F32A43"/>
    <w:rsid w:val="00F426B3"/>
    <w:rsid w:val="00F64EC1"/>
    <w:rsid w:val="00F65E68"/>
    <w:rsid w:val="00F80B84"/>
    <w:rsid w:val="00FB0225"/>
    <w:rsid w:val="00FF2DCF"/>
    <w:rsid w:val="00FF2DF3"/>
    <w:rsid w:val="00FF75DF"/>
    <w:rsid w:val="083704B9"/>
    <w:rsid w:val="1F82424B"/>
    <w:rsid w:val="20E26732"/>
    <w:rsid w:val="3C6C51DA"/>
    <w:rsid w:val="425B5C37"/>
    <w:rsid w:val="437B6009"/>
    <w:rsid w:val="452B5A76"/>
    <w:rsid w:val="472519C2"/>
    <w:rsid w:val="4B8E197C"/>
    <w:rsid w:val="576D58F5"/>
    <w:rsid w:val="5F1C7956"/>
    <w:rsid w:val="63186DFE"/>
    <w:rsid w:val="6F96FDAE"/>
    <w:rsid w:val="78926B91"/>
    <w:rsid w:val="7A1E52A4"/>
    <w:rsid w:val="7E80418E"/>
    <w:rsid w:val="CEE32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link w:val="11"/>
    <w:qFormat/>
    <w:uiPriority w:val="0"/>
    <w:pPr>
      <w:spacing w:after="120"/>
    </w:pPr>
    <w:rPr>
      <w:sz w:val="32"/>
    </w:rPr>
  </w:style>
  <w:style w:type="paragraph" w:styleId="4">
    <w:name w:val="Balloon Text"/>
    <w:basedOn w:val="1"/>
    <w:semiHidden/>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page number"/>
    <w:qFormat/>
    <w:uiPriority w:val="0"/>
  </w:style>
  <w:style w:type="character" w:customStyle="1" w:styleId="11">
    <w:name w:val="正文文本 Char"/>
    <w:link w:val="3"/>
    <w:qFormat/>
    <w:uiPriority w:val="0"/>
    <w:rPr>
      <w:rFonts w:eastAsia="宋体"/>
      <w:kern w:val="2"/>
      <w:sz w:val="32"/>
      <w:szCs w:val="24"/>
      <w:lang w:val="en-US" w:eastAsia="zh-CN" w:bidi="ar-SA"/>
    </w:rPr>
  </w:style>
  <w:style w:type="character" w:customStyle="1" w:styleId="12">
    <w:name w:val="页脚 Char"/>
    <w:link w:val="5"/>
    <w:qFormat/>
    <w:uiPriority w:val="99"/>
    <w:rPr>
      <w:kern w:val="2"/>
      <w:sz w:val="18"/>
      <w:szCs w:val="18"/>
    </w:rPr>
  </w:style>
  <w:style w:type="paragraph" w:customStyle="1" w:styleId="13">
    <w:name w:val="_Style 19"/>
    <w:basedOn w:val="2"/>
    <w:qFormat/>
    <w:uiPriority w:val="0"/>
    <w:rPr>
      <w:rFonts w:ascii="Tahoma" w:hAnsi="Tahoma"/>
      <w:sz w:val="24"/>
    </w:rPr>
  </w:style>
  <w:style w:type="paragraph" w:styleId="14">
    <w:name w:val="List Paragraph"/>
    <w:basedOn w:val="1"/>
    <w:qFormat/>
    <w:uiPriority w:val="34"/>
    <w:pPr>
      <w:ind w:firstLine="420" w:firstLineChars="200"/>
    </w:pPr>
  </w:style>
  <w:style w:type="paragraph" w:customStyle="1" w:styleId="15">
    <w:name w:val="Char Char Char2 Char"/>
    <w:basedOn w:val="2"/>
    <w:qFormat/>
    <w:uiPriority w:val="0"/>
    <w:rPr>
      <w:rFonts w:ascii="Tahoma" w:hAnsi="Tahoma"/>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8449</Words>
  <Characters>8659</Characters>
  <Lines>64</Lines>
  <Paragraphs>18</Paragraphs>
  <TotalTime>131</TotalTime>
  <ScaleCrop>false</ScaleCrop>
  <LinksUpToDate>false</LinksUpToDate>
  <CharactersWithSpaces>8821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2025-11-12T15:13:00Z</dcterms:created>
  <dc:creator>User</dc:creator>
  <cp:lastModifiedBy>微信用户</cp:lastModifiedBy>
  <cp:lastPrinted>2025-11-14T08:52:00Z</cp:lastPrinted>
  <dcterms:modified xsi:type="dcterms:W3CDTF">2025-11-17T02:35:29Z</dcterms:modified>
  <dc:title>青计〔2003〕号                      签发人：马  泽</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2B6609F11B2048DABA4E5D40C1E4A88F_13</vt:lpwstr>
  </property>
  <property fmtid="{D5CDD505-2E9C-101B-9397-08002B2CF9AE}" pid="4" name="KSOTemplateDocerSaveRecord">
    <vt:lpwstr>eyJoZGlkIjoiOTk3NWRjODliZDVkMGUzZmY0NzU5ODIzNDlkYzYyZTMiLCJ1c2VySWQiOiIxMjc5OTI2ODQxIn0=</vt:lpwstr>
  </property>
</Properties>
</file>