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A6" w:rsidRPr="008A7EC8" w:rsidRDefault="004514A6" w:rsidP="004514A6">
      <w:pPr>
        <w:widowControl/>
        <w:shd w:val="clear" w:color="auto" w:fill="FFFFFF"/>
        <w:spacing w:line="360" w:lineRule="auto"/>
        <w:jc w:val="center"/>
        <w:rPr>
          <w:rFonts w:ascii="仿宋" w:eastAsia="仿宋" w:hAnsi="仿宋" w:cs="Calibri"/>
          <w:color w:val="003496"/>
          <w:kern w:val="0"/>
          <w:sz w:val="30"/>
          <w:szCs w:val="30"/>
        </w:rPr>
      </w:pPr>
      <w:bookmarkStart w:id="0" w:name="_GoBack"/>
      <w:r w:rsidRPr="008A7EC8">
        <w:rPr>
          <w:rFonts w:ascii="仿宋" w:eastAsia="仿宋" w:hAnsi="仿宋" w:cs="Calibri" w:hint="eastAsia"/>
          <w:color w:val="000000"/>
          <w:kern w:val="0"/>
          <w:sz w:val="30"/>
          <w:szCs w:val="30"/>
        </w:rPr>
        <w:t>东营市2019年度社会科学规划课题指南</w:t>
      </w:r>
      <w:bookmarkEnd w:id="0"/>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Calibri" w:eastAsia="仿宋" w:hAnsi="Calibri" w:cs="Calibri"/>
          <w:color w:val="000000"/>
          <w:kern w:val="0"/>
          <w:sz w:val="30"/>
          <w:szCs w:val="30"/>
        </w:rPr>
        <w:t> </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为进一步做好东营市2019年度社会科学规划课题申报工作，加强针对性、提高有效性、突出服务性，特制定2019年度社会科学规划课题指南（以下简称《课题指南》），以指导课题申报。申报课题要以习近平新时代中国特色社会主义思想和党的十九大精神为指导，着眼于国际局势变化和新的时代特点，立足于中国现实国情、山东省情和东营市情，注重研究东营改革开放和现代化建设中的全局性、战略性和前瞻性问题；着力于社会科学学科理论体系创新、教材体系创新、话语体系创新和普及方式方法创新。</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课题指南》的具体条目只列出研究系列的范围和重点，征集人可按总体要求，根据自己的学术积累和研究专长确定研究方向，细化具体题目，选择不同的侧重点进行申报。基础理论研究，应力求居于学科前沿，体现原创新和开拓性，避免低水平重复，着力推出有分量有深度的研究成果。应用对策研究，应力求新选题、新方法、新判断，努力提出针对性、可操作性强的对策建议，为党委政府决策服务。</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一、政治与文化</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1、习近平新时代中国特色社会主义思想理论创新与东营的实践创新研究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2、新时代改革开放问题研究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lastRenderedPageBreak/>
        <w:t>3、新时代意识形态问题研究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4、党建理论创新与东营实践研究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5、以党建推动中心工作落实经验研究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6、加强东营“两新”组织党的建设问题研究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7、东营加强重点领域意识形态安全策略研究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8、机构改革后提升政府绩效路径研究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9、东营推动“一次办好”改革持续突破研究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10、东营健全“鼓励激励、容错纠错、能上能下”三项机制研究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11、党的纪律、作风建设与东营实践研究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12、增强东营群团组织政治性、先进性、群众性机制研究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13、继承和弘扬中华优秀文化与文化自信问题研究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14、孙子文化研究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二、经济与管理</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1、黄河入海文化旅游目的地建设路径研究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2、东营市未来产业培育研究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3、东营市全面实现小康社会差距与对策研究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4、提升东营对外开放水平对策研究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5、激发东营民企活力问题研究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6、东营县域经济问题研究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7、东营市主导产业品牌升级问题研究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8、东营金融动能转换问题研究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lastRenderedPageBreak/>
        <w:t>9、东营构建三次产业相互融合现代产业体系研究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10、东营农业“新六产”发展载体培育路径研究</w:t>
      </w:r>
    </w:p>
    <w:p w:rsidR="004514A6" w:rsidRPr="008A7EC8" w:rsidRDefault="004514A6" w:rsidP="004514A6">
      <w:pPr>
        <w:widowControl/>
        <w:shd w:val="clear" w:color="auto" w:fill="FFFFFF"/>
        <w:spacing w:line="360" w:lineRule="auto"/>
        <w:ind w:firstLine="646"/>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11、加快城市管理“大数据”建设研究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12、加强东营重大安全风险防范化解机制建设研究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13、构建新时代质量安全治理体系研究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14、大数据时代条件下区块链与食品安全监管改革研究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三、社会与生态</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1、深入实施乡村振兴战略研究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2、东营市建设现代化湿地城市的总体设计与突破重点</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3、油地深度融合背景下中心城城市管理一体化研究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4、东营市人口、资源、环境治理与可持续发展研究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5、东营市推进精准帮扶机制和扶贫工作跟踪评估研究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6、东营市城市空巢老人社会疏离现状及应对策略研究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7、东营市居家养老支持政策创新研究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8、健康中国背景下全方位、全生命周期的居民健康服务模式研究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9、东营打造共建共治共享社会治理格局研究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10、东营市建设精细化标准化社区物业管理体系研究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11、东营市深化社会诚信体系建设研究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12、东营市提升市民文明素质和城市文明程度途径研究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13、东营市高层次人才市场化引进机制创新研究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14、东营市建设专业化高水平新型智库的机制和路径研究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lastRenderedPageBreak/>
        <w:t>四、法律与教育</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1、东营市推进法治政府建设研究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2、东营市实施国家监察制度及其有效运行机制建设研究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3、构建亲清新型政商关系研究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4、新时代东营教育主要矛盾变化特点及对策研究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5、推进东营城乡义务教育一体化、均衡化发展问题研究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6、构建和谐教育体系问题研究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7、东营校园欺凌的现状与对策研究</w:t>
      </w:r>
    </w:p>
    <w:p w:rsidR="004514A6" w:rsidRPr="008A7EC8" w:rsidRDefault="004514A6" w:rsidP="004514A6">
      <w:pPr>
        <w:widowControl/>
        <w:shd w:val="clear" w:color="auto" w:fill="FFFFFF"/>
        <w:spacing w:line="360" w:lineRule="auto"/>
        <w:ind w:firstLine="640"/>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8、基于大数据分析的山东青少年身心健康影响因素研究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9、青少年心理问题与疏解对策研究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10、基础教育教学管理方式方法研究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11、构建新时代高校大宣传格局研究</w:t>
      </w:r>
    </w:p>
    <w:p w:rsidR="004514A6" w:rsidRPr="008A7EC8" w:rsidRDefault="004514A6" w:rsidP="004514A6">
      <w:pPr>
        <w:widowControl/>
        <w:shd w:val="clear" w:color="auto" w:fill="FFFFFF"/>
        <w:spacing w:line="360" w:lineRule="auto"/>
        <w:ind w:firstLine="640"/>
        <w:jc w:val="left"/>
        <w:rPr>
          <w:rFonts w:ascii="仿宋" w:eastAsia="仿宋" w:hAnsi="仿宋" w:cs="Calibri"/>
          <w:color w:val="003496"/>
          <w:kern w:val="0"/>
          <w:sz w:val="30"/>
          <w:szCs w:val="30"/>
        </w:rPr>
      </w:pPr>
      <w:r w:rsidRPr="008A7EC8">
        <w:rPr>
          <w:rFonts w:ascii="仿宋" w:eastAsia="仿宋" w:hAnsi="仿宋" w:cs="Calibri" w:hint="eastAsia"/>
          <w:color w:val="000000"/>
          <w:kern w:val="0"/>
          <w:sz w:val="30"/>
          <w:szCs w:val="30"/>
        </w:rPr>
        <w:t>12、自媒体时代大学生政治认同研究</w:t>
      </w:r>
    </w:p>
    <w:p w:rsidR="003B6D2C" w:rsidRDefault="004514A6" w:rsidP="004514A6">
      <w:r w:rsidRPr="008A7EC8">
        <w:rPr>
          <w:rFonts w:ascii="仿宋" w:eastAsia="仿宋" w:hAnsi="仿宋" w:cs="Calibri" w:hint="eastAsia"/>
          <w:color w:val="000000"/>
          <w:kern w:val="0"/>
          <w:sz w:val="30"/>
          <w:szCs w:val="30"/>
        </w:rPr>
        <w:t>13、新旧动能转换背景下地方高校人才培养模式创新研究</w:t>
      </w:r>
    </w:p>
    <w:sectPr w:rsidR="003B6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4E" w:rsidRDefault="0013794E" w:rsidP="004514A6">
      <w:r>
        <w:separator/>
      </w:r>
    </w:p>
  </w:endnote>
  <w:endnote w:type="continuationSeparator" w:id="0">
    <w:p w:rsidR="0013794E" w:rsidRDefault="0013794E" w:rsidP="0045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4E" w:rsidRDefault="0013794E" w:rsidP="004514A6">
      <w:r>
        <w:separator/>
      </w:r>
    </w:p>
  </w:footnote>
  <w:footnote w:type="continuationSeparator" w:id="0">
    <w:p w:rsidR="0013794E" w:rsidRDefault="0013794E" w:rsidP="0045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FD"/>
    <w:rsid w:val="0013794E"/>
    <w:rsid w:val="002210FD"/>
    <w:rsid w:val="003F3DDF"/>
    <w:rsid w:val="004514A6"/>
    <w:rsid w:val="0057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89B214-A7E3-4EC4-A51A-FBB7C916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4A6"/>
    <w:rPr>
      <w:sz w:val="18"/>
      <w:szCs w:val="18"/>
    </w:rPr>
  </w:style>
  <w:style w:type="paragraph" w:styleId="a4">
    <w:name w:val="footer"/>
    <w:basedOn w:val="a"/>
    <w:link w:val="Char0"/>
    <w:uiPriority w:val="99"/>
    <w:unhideWhenUsed/>
    <w:rsid w:val="004514A6"/>
    <w:pPr>
      <w:tabs>
        <w:tab w:val="center" w:pos="4153"/>
        <w:tab w:val="right" w:pos="8306"/>
      </w:tabs>
      <w:snapToGrid w:val="0"/>
      <w:jc w:val="left"/>
    </w:pPr>
    <w:rPr>
      <w:sz w:val="18"/>
      <w:szCs w:val="18"/>
    </w:rPr>
  </w:style>
  <w:style w:type="character" w:customStyle="1" w:styleId="Char0">
    <w:name w:val="页脚 Char"/>
    <w:basedOn w:val="a0"/>
    <w:link w:val="a4"/>
    <w:uiPriority w:val="99"/>
    <w:rsid w:val="004514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2018-11-28T03:13:00Z</dcterms:created>
  <dcterms:modified xsi:type="dcterms:W3CDTF">2018-11-28T03:13:00Z</dcterms:modified>
</cp:coreProperties>
</file>